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C4F" w:rsidRPr="00080C4F" w:rsidRDefault="00080C4F" w:rsidP="00080C4F">
      <w:pPr>
        <w:autoSpaceDE w:val="0"/>
        <w:autoSpaceDN w:val="0"/>
        <w:adjustRightInd w:val="0"/>
        <w:spacing w:after="0" w:line="240" w:lineRule="auto"/>
        <w:jc w:val="center"/>
        <w:rPr>
          <w:rFonts w:ascii="Arial" w:hAnsi="Arial" w:cs="Arial"/>
          <w:color w:val="000000"/>
          <w:sz w:val="28"/>
          <w:szCs w:val="28"/>
        </w:rPr>
      </w:pPr>
      <w:r w:rsidRPr="00080C4F">
        <w:rPr>
          <w:rFonts w:ascii="Arial" w:hAnsi="Arial" w:cs="Arial"/>
          <w:b/>
          <w:bCs/>
          <w:color w:val="000000"/>
          <w:sz w:val="28"/>
          <w:szCs w:val="28"/>
        </w:rPr>
        <w:t>Konzessions-Ausschreibung</w:t>
      </w:r>
    </w:p>
    <w:p w:rsidR="00080C4F" w:rsidRPr="00080C4F" w:rsidRDefault="00080C4F" w:rsidP="00080C4F">
      <w:pPr>
        <w:jc w:val="center"/>
        <w:rPr>
          <w:rFonts w:ascii="Arial" w:hAnsi="Arial" w:cs="Arial"/>
          <w:b/>
          <w:bCs/>
          <w:sz w:val="28"/>
          <w:szCs w:val="28"/>
        </w:rPr>
      </w:pPr>
      <w:r w:rsidRPr="00080C4F">
        <w:rPr>
          <w:rFonts w:ascii="Arial" w:hAnsi="Arial" w:cs="Arial"/>
          <w:b/>
          <w:bCs/>
          <w:sz w:val="28"/>
          <w:szCs w:val="28"/>
        </w:rPr>
        <w:t>- Wirtschaftlichkeitslücke –</w:t>
      </w:r>
    </w:p>
    <w:p w:rsidR="00E6126F" w:rsidRPr="00080C4F" w:rsidRDefault="00E6126F" w:rsidP="00E6126F">
      <w:pPr>
        <w:pStyle w:val="Default"/>
        <w:rPr>
          <w:rFonts w:ascii="Arial" w:hAnsi="Arial" w:cs="Arial"/>
          <w:sz w:val="22"/>
          <w:szCs w:val="22"/>
        </w:rPr>
      </w:pPr>
    </w:p>
    <w:p w:rsidR="00F9396A" w:rsidRDefault="00CA6798" w:rsidP="00F65073">
      <w:pPr>
        <w:jc w:val="both"/>
        <w:rPr>
          <w:rFonts w:ascii="Arial" w:hAnsi="Arial" w:cs="Arial"/>
        </w:rPr>
      </w:pPr>
      <w:r>
        <w:rPr>
          <w:rFonts w:ascii="Arial" w:hAnsi="Arial" w:cs="Arial"/>
        </w:rPr>
        <w:t xml:space="preserve">Im Zeitraum Juli bis September 2023 wurden durch den </w:t>
      </w:r>
      <w:r w:rsidR="00E65A4F">
        <w:rPr>
          <w:rFonts w:ascii="Arial" w:hAnsi="Arial" w:cs="Arial"/>
        </w:rPr>
        <w:t>Landkreis</w:t>
      </w:r>
      <w:r>
        <w:rPr>
          <w:rFonts w:ascii="Arial" w:hAnsi="Arial" w:cs="Arial"/>
        </w:rPr>
        <w:t xml:space="preserve"> Harz ein Markterkun</w:t>
      </w:r>
      <w:r w:rsidR="00E65A4F">
        <w:rPr>
          <w:rFonts w:ascii="Arial" w:hAnsi="Arial" w:cs="Arial"/>
        </w:rPr>
        <w:t xml:space="preserve">dungsverfahren durchgeführt. Basierend auf den Ergebnissen wurden „graue Flecken“ (unterversorgte Bereiche) definiert, welche durch einen Ausbau mit Fördermitteln beseitigt werden sollen. </w:t>
      </w:r>
      <w:r w:rsidR="00F9396A">
        <w:rPr>
          <w:rFonts w:ascii="Arial" w:hAnsi="Arial" w:cs="Arial"/>
        </w:rPr>
        <w:t>Unter Berücksichtigung von Eigenausbauzusagen privater Telekommunikationsunternehmen sowie auf der Grundlage</w:t>
      </w:r>
    </w:p>
    <w:p w:rsidR="00F9396A" w:rsidRDefault="003B75B3" w:rsidP="00F65073">
      <w:pPr>
        <w:pStyle w:val="Listenabsatz"/>
        <w:numPr>
          <w:ilvl w:val="0"/>
          <w:numId w:val="2"/>
        </w:numPr>
        <w:jc w:val="both"/>
        <w:rPr>
          <w:rFonts w:ascii="Arial" w:hAnsi="Arial" w:cs="Arial"/>
        </w:rPr>
      </w:pPr>
      <w:r>
        <w:rPr>
          <w:rFonts w:ascii="Arial" w:hAnsi="Arial" w:cs="Arial"/>
        </w:rPr>
        <w:t>der</w:t>
      </w:r>
      <w:r w:rsidR="00F9396A">
        <w:rPr>
          <w:rFonts w:ascii="Arial" w:hAnsi="Arial" w:cs="Arial"/>
        </w:rPr>
        <w:t xml:space="preserve"> aktuellen Leitlinien der EU für staatliche Beihilfen zur Förderung von Breitbandnetzen vom 12.12.2022,</w:t>
      </w:r>
    </w:p>
    <w:p w:rsidR="00F9396A" w:rsidRDefault="003B75B3" w:rsidP="00F65073">
      <w:pPr>
        <w:pStyle w:val="Listenabsatz"/>
        <w:numPr>
          <w:ilvl w:val="0"/>
          <w:numId w:val="2"/>
        </w:numPr>
        <w:jc w:val="both"/>
        <w:rPr>
          <w:rFonts w:ascii="Arial" w:hAnsi="Arial" w:cs="Arial"/>
        </w:rPr>
      </w:pPr>
      <w:r>
        <w:rPr>
          <w:rFonts w:ascii="Arial" w:hAnsi="Arial" w:cs="Arial"/>
        </w:rPr>
        <w:t>der</w:t>
      </w:r>
      <w:r w:rsidR="00F9396A">
        <w:rPr>
          <w:rFonts w:ascii="Arial" w:hAnsi="Arial" w:cs="Arial"/>
        </w:rPr>
        <w:t xml:space="preserve"> Rahmenregelungen der Bundesrepublik Deutschland zur Unterstützung des flächendeckenden Aufbaus von Gigabitnetzen in „graue Flecken“ vom 13.11.2020,</w:t>
      </w:r>
    </w:p>
    <w:p w:rsidR="009C72EC" w:rsidRDefault="003B75B3" w:rsidP="00F65073">
      <w:pPr>
        <w:pStyle w:val="Listenabsatz"/>
        <w:numPr>
          <w:ilvl w:val="0"/>
          <w:numId w:val="2"/>
        </w:numPr>
        <w:jc w:val="both"/>
        <w:rPr>
          <w:rFonts w:ascii="Arial" w:hAnsi="Arial" w:cs="Arial"/>
        </w:rPr>
      </w:pPr>
      <w:r>
        <w:rPr>
          <w:rFonts w:ascii="Arial" w:hAnsi="Arial" w:cs="Arial"/>
        </w:rPr>
        <w:t>der</w:t>
      </w:r>
      <w:r w:rsidR="00F9396A">
        <w:rPr>
          <w:rFonts w:ascii="Arial" w:hAnsi="Arial" w:cs="Arial"/>
        </w:rPr>
        <w:t xml:space="preserve"> Richtlinie über die Gewährung von Zuwendungen zur Förderung des Next Generation </w:t>
      </w:r>
      <w:proofErr w:type="spellStart"/>
      <w:r w:rsidR="00F9396A">
        <w:rPr>
          <w:rFonts w:ascii="Arial" w:hAnsi="Arial" w:cs="Arial"/>
        </w:rPr>
        <w:t>Acccess</w:t>
      </w:r>
      <w:proofErr w:type="spellEnd"/>
      <w:r w:rsidR="00F9396A">
        <w:rPr>
          <w:rFonts w:ascii="Arial" w:hAnsi="Arial" w:cs="Arial"/>
        </w:rPr>
        <w:t xml:space="preserve">-Breitbandausbaus Sachsen-Anhalts (NGA-LSA) vom </w:t>
      </w:r>
      <w:r w:rsidR="007034EF">
        <w:rPr>
          <w:rFonts w:ascii="Arial" w:hAnsi="Arial" w:cs="Arial"/>
        </w:rPr>
        <w:t>31.03.2023</w:t>
      </w:r>
      <w:r w:rsidR="00F9396A">
        <w:rPr>
          <w:rFonts w:ascii="Arial" w:hAnsi="Arial" w:cs="Arial"/>
        </w:rPr>
        <w:t xml:space="preserve"> in der aktuell gültigen Fassung</w:t>
      </w:r>
    </w:p>
    <w:p w:rsidR="003B75B3" w:rsidRDefault="009C72EC" w:rsidP="00F65073">
      <w:pPr>
        <w:jc w:val="both"/>
        <w:rPr>
          <w:rFonts w:ascii="Arial" w:hAnsi="Arial" w:cs="Arial"/>
        </w:rPr>
      </w:pPr>
      <w:r>
        <w:rPr>
          <w:rFonts w:ascii="Arial" w:hAnsi="Arial" w:cs="Arial"/>
        </w:rPr>
        <w:t xml:space="preserve">beabsichtigt der Landkreis Harz, eine Versorgung der noch unterversorgten Adressen </w:t>
      </w:r>
      <w:r w:rsidRPr="009C72EC">
        <w:rPr>
          <w:rFonts w:ascii="Arial" w:hAnsi="Arial" w:cs="Arial"/>
        </w:rPr>
        <w:t>mit dem Ziel eine vollständige flächendeckende gigabitfähiges Breitbandnetz zu erreichen.</w:t>
      </w:r>
    </w:p>
    <w:p w:rsidR="00A0662F" w:rsidRDefault="009C72EC" w:rsidP="00F65073">
      <w:pPr>
        <w:jc w:val="both"/>
        <w:rPr>
          <w:rFonts w:ascii="Arial" w:hAnsi="Arial" w:cs="Arial"/>
        </w:rPr>
      </w:pPr>
      <w:r>
        <w:rPr>
          <w:rFonts w:ascii="Arial" w:hAnsi="Arial" w:cs="Arial"/>
        </w:rPr>
        <w:t>I</w:t>
      </w:r>
      <w:r w:rsidR="00385FA5" w:rsidRPr="009C72EC">
        <w:rPr>
          <w:rFonts w:ascii="Arial" w:hAnsi="Arial" w:cs="Arial"/>
        </w:rPr>
        <w:t>n den Ausbaugebieten Gemeinde Osterwieck und Gemeinde Halberstadt</w:t>
      </w:r>
      <w:r w:rsidR="00223AEB">
        <w:rPr>
          <w:rFonts w:ascii="Arial" w:hAnsi="Arial" w:cs="Arial"/>
        </w:rPr>
        <w:t xml:space="preserve"> (siehe Tabelle)</w:t>
      </w:r>
      <w:r w:rsidR="004D61BC" w:rsidRPr="009C72EC">
        <w:rPr>
          <w:rFonts w:ascii="Arial" w:hAnsi="Arial" w:cs="Arial"/>
        </w:rPr>
        <w:t xml:space="preserve"> </w:t>
      </w:r>
      <w:r w:rsidR="003B75B3" w:rsidRPr="009C72EC">
        <w:rPr>
          <w:rFonts w:ascii="Arial" w:hAnsi="Arial" w:cs="Arial"/>
        </w:rPr>
        <w:t xml:space="preserve">werden daher </w:t>
      </w:r>
      <w:r w:rsidR="00B94C38" w:rsidRPr="009C72EC">
        <w:rPr>
          <w:rFonts w:ascii="Arial" w:hAnsi="Arial" w:cs="Arial"/>
        </w:rPr>
        <w:t>Netzbetreiber und Telekommunikationsunternehmen aufgefordert, für den Anschluss der in den Anlagen dargestellten Adressen ein verbindliches Angebot für die Bereitstellung von gigabitfähigen Anschlüssen</w:t>
      </w:r>
      <w:r w:rsidR="00AC3079" w:rsidRPr="009C72EC">
        <w:rPr>
          <w:rFonts w:ascii="Arial" w:hAnsi="Arial" w:cs="Arial"/>
        </w:rPr>
        <w:t>,</w:t>
      </w:r>
      <w:r w:rsidR="00B94C38" w:rsidRPr="009C72EC">
        <w:rPr>
          <w:rFonts w:ascii="Arial" w:hAnsi="Arial" w:cs="Arial"/>
        </w:rPr>
        <w:t xml:space="preserve"> von </w:t>
      </w:r>
      <w:r w:rsidR="00AF1A13" w:rsidRPr="009C72EC">
        <w:rPr>
          <w:rFonts w:ascii="Arial" w:hAnsi="Arial" w:cs="Arial"/>
        </w:rPr>
        <w:t xml:space="preserve">mindestens </w:t>
      </w:r>
      <w:r w:rsidR="00D53ED6" w:rsidRPr="009C72EC">
        <w:rPr>
          <w:rFonts w:ascii="Arial" w:hAnsi="Arial" w:cs="Arial"/>
        </w:rPr>
        <w:t>1 Gigabit/s</w:t>
      </w:r>
      <w:r w:rsidR="003048C9" w:rsidRPr="009C72EC">
        <w:rPr>
          <w:rFonts w:ascii="Arial" w:hAnsi="Arial" w:cs="Arial"/>
        </w:rPr>
        <w:t xml:space="preserve"> symmetrisch für alle Adresspunkte</w:t>
      </w:r>
      <w:r w:rsidR="00AC3079" w:rsidRPr="009C72EC">
        <w:rPr>
          <w:rFonts w:ascii="Arial" w:hAnsi="Arial" w:cs="Arial"/>
        </w:rPr>
        <w:t xml:space="preserve">, abzugeben. </w:t>
      </w:r>
    </w:p>
    <w:p w:rsidR="00AF1A13" w:rsidRPr="00080C4F" w:rsidRDefault="00672CE5" w:rsidP="00F65073">
      <w:pPr>
        <w:jc w:val="both"/>
        <w:rPr>
          <w:rFonts w:ascii="Arial" w:hAnsi="Arial" w:cs="Arial"/>
        </w:rPr>
      </w:pPr>
      <w:r w:rsidRPr="00080C4F">
        <w:rPr>
          <w:rFonts w:ascii="Arial" w:hAnsi="Arial" w:cs="Arial"/>
        </w:rPr>
        <w:t xml:space="preserve">Die </w:t>
      </w:r>
      <w:r w:rsidR="009605C0" w:rsidRPr="00080C4F">
        <w:rPr>
          <w:rFonts w:ascii="Arial" w:hAnsi="Arial" w:cs="Arial"/>
        </w:rPr>
        <w:t>errichteten Gigabit-TK-Netzinfrastrukturen müssen mindestens dem aktuellen Stand der Technik entsprechen.</w:t>
      </w:r>
    </w:p>
    <w:p w:rsidR="0054306F" w:rsidRPr="00080C4F" w:rsidRDefault="0054306F" w:rsidP="00F65073">
      <w:pPr>
        <w:jc w:val="both"/>
        <w:rPr>
          <w:rFonts w:ascii="Arial" w:hAnsi="Arial" w:cs="Arial"/>
        </w:rPr>
      </w:pPr>
      <w:r w:rsidRPr="00080C4F">
        <w:rPr>
          <w:rFonts w:ascii="Arial" w:hAnsi="Arial" w:cs="Arial"/>
        </w:rPr>
        <w:t>Das Ausbaugebiet wir in folgende Lose aufgeteilt:</w:t>
      </w:r>
    </w:p>
    <w:tbl>
      <w:tblPr>
        <w:tblW w:w="5000" w:type="pct"/>
        <w:tblLayout w:type="fixed"/>
        <w:tblCellMar>
          <w:left w:w="70" w:type="dxa"/>
          <w:right w:w="70" w:type="dxa"/>
        </w:tblCellMar>
        <w:tblLook w:val="04A0" w:firstRow="1" w:lastRow="0" w:firstColumn="1" w:lastColumn="0" w:noHBand="0" w:noVBand="1"/>
      </w:tblPr>
      <w:tblGrid>
        <w:gridCol w:w="658"/>
        <w:gridCol w:w="1988"/>
        <w:gridCol w:w="5221"/>
        <w:gridCol w:w="1345"/>
      </w:tblGrid>
      <w:tr w:rsidR="0054306F" w:rsidRPr="00080C4F" w:rsidTr="003F28FF">
        <w:trPr>
          <w:trHeight w:val="315"/>
        </w:trPr>
        <w:tc>
          <w:tcPr>
            <w:tcW w:w="357"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Nr.</w:t>
            </w:r>
          </w:p>
        </w:tc>
        <w:tc>
          <w:tcPr>
            <w:tcW w:w="1079"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Gemeindeschlüssel</w:t>
            </w:r>
          </w:p>
        </w:tc>
        <w:tc>
          <w:tcPr>
            <w:tcW w:w="283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Bezeichnung</w:t>
            </w:r>
          </w:p>
        </w:tc>
        <w:tc>
          <w:tcPr>
            <w:tcW w:w="73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Anschlüsse</w:t>
            </w:r>
          </w:p>
        </w:tc>
      </w:tr>
      <w:tr w:rsidR="0054306F" w:rsidRPr="00080C4F" w:rsidTr="003F28FF">
        <w:trPr>
          <w:trHeight w:val="300"/>
        </w:trPr>
        <w:tc>
          <w:tcPr>
            <w:tcW w:w="357"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Los 1</w:t>
            </w:r>
          </w:p>
        </w:tc>
        <w:tc>
          <w:tcPr>
            <w:tcW w:w="1079"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15085230</w:t>
            </w:r>
          </w:p>
        </w:tc>
        <w:tc>
          <w:tcPr>
            <w:tcW w:w="283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rPr>
                <w:rFonts w:ascii="Arial" w:eastAsia="Times New Roman" w:hAnsi="Arial" w:cs="Arial"/>
                <w:color w:val="000000"/>
                <w:lang w:eastAsia="de-DE"/>
              </w:rPr>
            </w:pPr>
            <w:r w:rsidRPr="00080C4F">
              <w:rPr>
                <w:rFonts w:ascii="Arial" w:eastAsia="Times New Roman" w:hAnsi="Arial" w:cs="Arial"/>
                <w:color w:val="000000"/>
                <w:lang w:eastAsia="de-DE"/>
              </w:rPr>
              <w:t>gigabitfähige Breitbandversorgung</w:t>
            </w:r>
          </w:p>
        </w:tc>
        <w:tc>
          <w:tcPr>
            <w:tcW w:w="73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1234</w:t>
            </w:r>
          </w:p>
        </w:tc>
      </w:tr>
      <w:tr w:rsidR="0054306F" w:rsidRPr="00080C4F" w:rsidTr="003F28FF">
        <w:trPr>
          <w:trHeight w:val="300"/>
        </w:trPr>
        <w:tc>
          <w:tcPr>
            <w:tcW w:w="357"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1079"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2834"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rPr>
                <w:rFonts w:ascii="Arial" w:eastAsia="Times New Roman" w:hAnsi="Arial" w:cs="Arial"/>
                <w:color w:val="000000"/>
                <w:lang w:eastAsia="de-DE"/>
              </w:rPr>
            </w:pPr>
            <w:r w:rsidRPr="00080C4F">
              <w:rPr>
                <w:rFonts w:ascii="Arial" w:eastAsia="Times New Roman" w:hAnsi="Arial" w:cs="Arial"/>
                <w:color w:val="000000"/>
                <w:lang w:eastAsia="de-DE"/>
              </w:rPr>
              <w:t>Versorgung mit einem flächendeckenden NGA-Netz</w:t>
            </w:r>
          </w:p>
        </w:tc>
        <w:tc>
          <w:tcPr>
            <w:tcW w:w="730"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r>
      <w:tr w:rsidR="0054306F" w:rsidRPr="00080C4F" w:rsidTr="003F28FF">
        <w:trPr>
          <w:trHeight w:val="300"/>
        </w:trPr>
        <w:tc>
          <w:tcPr>
            <w:tcW w:w="357"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1079"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2834"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rPr>
                <w:rFonts w:ascii="Arial" w:eastAsia="Times New Roman" w:hAnsi="Arial" w:cs="Arial"/>
                <w:color w:val="000000"/>
                <w:lang w:eastAsia="de-DE"/>
              </w:rPr>
            </w:pPr>
            <w:r w:rsidRPr="00080C4F">
              <w:rPr>
                <w:rFonts w:ascii="Arial" w:eastAsia="Times New Roman" w:hAnsi="Arial" w:cs="Arial"/>
                <w:color w:val="000000"/>
                <w:lang w:eastAsia="de-DE"/>
              </w:rPr>
              <w:t>in den unterversorgten Ortsteilen der Stadt Osterwieck:</w:t>
            </w:r>
          </w:p>
        </w:tc>
        <w:tc>
          <w:tcPr>
            <w:tcW w:w="730"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r>
      <w:tr w:rsidR="0054306F" w:rsidRPr="00080C4F" w:rsidTr="003F28FF">
        <w:trPr>
          <w:trHeight w:val="300"/>
        </w:trPr>
        <w:tc>
          <w:tcPr>
            <w:tcW w:w="357"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1079"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2834"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rPr>
                <w:rFonts w:ascii="Arial" w:eastAsia="Times New Roman" w:hAnsi="Arial" w:cs="Arial"/>
                <w:color w:val="000000"/>
                <w:lang w:eastAsia="de-DE"/>
              </w:rPr>
            </w:pPr>
            <w:r w:rsidRPr="00080C4F">
              <w:rPr>
                <w:rFonts w:ascii="Arial" w:eastAsia="Times New Roman" w:hAnsi="Arial" w:cs="Arial"/>
                <w:color w:val="000000"/>
                <w:lang w:eastAsia="de-DE"/>
              </w:rPr>
              <w:t xml:space="preserve">Hoppenstedt, Osterode, Veltheim, </w:t>
            </w:r>
            <w:proofErr w:type="spellStart"/>
            <w:r w:rsidRPr="00080C4F">
              <w:rPr>
                <w:rFonts w:ascii="Arial" w:eastAsia="Times New Roman" w:hAnsi="Arial" w:cs="Arial"/>
                <w:color w:val="000000"/>
                <w:lang w:eastAsia="de-DE"/>
              </w:rPr>
              <w:t>Rohrsheim</w:t>
            </w:r>
            <w:proofErr w:type="spellEnd"/>
            <w:r w:rsidRPr="00080C4F">
              <w:rPr>
                <w:rFonts w:ascii="Arial" w:eastAsia="Times New Roman" w:hAnsi="Arial" w:cs="Arial"/>
                <w:color w:val="000000"/>
                <w:lang w:eastAsia="de-DE"/>
              </w:rPr>
              <w:t xml:space="preserve">, </w:t>
            </w:r>
            <w:proofErr w:type="spellStart"/>
            <w:r w:rsidRPr="00080C4F">
              <w:rPr>
                <w:rFonts w:ascii="Arial" w:eastAsia="Times New Roman" w:hAnsi="Arial" w:cs="Arial"/>
                <w:color w:val="000000"/>
                <w:lang w:eastAsia="de-DE"/>
              </w:rPr>
              <w:t>Zilly</w:t>
            </w:r>
            <w:proofErr w:type="spellEnd"/>
            <w:r w:rsidRPr="00080C4F">
              <w:rPr>
                <w:rFonts w:ascii="Arial" w:eastAsia="Times New Roman" w:hAnsi="Arial" w:cs="Arial"/>
                <w:color w:val="000000"/>
                <w:lang w:eastAsia="de-DE"/>
              </w:rPr>
              <w:t xml:space="preserve">, </w:t>
            </w:r>
          </w:p>
        </w:tc>
        <w:tc>
          <w:tcPr>
            <w:tcW w:w="730"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r>
      <w:tr w:rsidR="0054306F" w:rsidRPr="00080C4F" w:rsidTr="003F28FF">
        <w:trPr>
          <w:trHeight w:val="315"/>
        </w:trPr>
        <w:tc>
          <w:tcPr>
            <w:tcW w:w="357" w:type="pct"/>
            <w:tcBorders>
              <w:top w:val="nil"/>
              <w:left w:val="single" w:sz="12" w:space="0" w:color="auto"/>
              <w:bottom w:val="single" w:sz="12"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1079" w:type="pct"/>
            <w:tcBorders>
              <w:top w:val="nil"/>
              <w:left w:val="single" w:sz="12" w:space="0" w:color="auto"/>
              <w:bottom w:val="single" w:sz="12"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2834" w:type="pct"/>
            <w:tcBorders>
              <w:top w:val="nil"/>
              <w:left w:val="single" w:sz="12" w:space="0" w:color="auto"/>
              <w:bottom w:val="single" w:sz="12" w:space="0" w:color="auto"/>
              <w:right w:val="single" w:sz="12" w:space="0" w:color="auto"/>
            </w:tcBorders>
            <w:shd w:val="clear" w:color="auto" w:fill="auto"/>
            <w:noWrap/>
            <w:vAlign w:val="bottom"/>
            <w:hideMark/>
          </w:tcPr>
          <w:p w:rsidR="0054306F" w:rsidRPr="00080C4F" w:rsidRDefault="0054306F" w:rsidP="00F65073">
            <w:pPr>
              <w:spacing w:after="0"/>
              <w:rPr>
                <w:rFonts w:ascii="Arial" w:eastAsia="Times New Roman" w:hAnsi="Arial" w:cs="Arial"/>
                <w:color w:val="000000"/>
                <w:lang w:eastAsia="de-DE"/>
              </w:rPr>
            </w:pPr>
            <w:r w:rsidRPr="00080C4F">
              <w:rPr>
                <w:rFonts w:ascii="Arial" w:eastAsia="Times New Roman" w:hAnsi="Arial" w:cs="Arial"/>
                <w:color w:val="000000"/>
                <w:lang w:eastAsia="de-DE"/>
              </w:rPr>
              <w:t xml:space="preserve">Sonnenburg, </w:t>
            </w:r>
            <w:proofErr w:type="spellStart"/>
            <w:r w:rsidRPr="00080C4F">
              <w:rPr>
                <w:rFonts w:ascii="Arial" w:eastAsia="Times New Roman" w:hAnsi="Arial" w:cs="Arial"/>
                <w:color w:val="000000"/>
                <w:lang w:eastAsia="de-DE"/>
              </w:rPr>
              <w:t>Göddeckenrode</w:t>
            </w:r>
            <w:proofErr w:type="spellEnd"/>
            <w:r w:rsidRPr="00080C4F">
              <w:rPr>
                <w:rFonts w:ascii="Arial" w:eastAsia="Times New Roman" w:hAnsi="Arial" w:cs="Arial"/>
                <w:color w:val="000000"/>
                <w:lang w:eastAsia="de-DE"/>
              </w:rPr>
              <w:t>, Rhode</w:t>
            </w:r>
          </w:p>
        </w:tc>
        <w:tc>
          <w:tcPr>
            <w:tcW w:w="730" w:type="pct"/>
            <w:tcBorders>
              <w:top w:val="nil"/>
              <w:left w:val="single" w:sz="12" w:space="0" w:color="auto"/>
              <w:bottom w:val="single" w:sz="12" w:space="0" w:color="auto"/>
              <w:right w:val="single" w:sz="12" w:space="0" w:color="auto"/>
            </w:tcBorders>
            <w:shd w:val="clear" w:color="auto" w:fill="auto"/>
            <w:noWrap/>
            <w:vAlign w:val="bottom"/>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r>
      <w:tr w:rsidR="0054306F" w:rsidRPr="00080C4F" w:rsidTr="003F28FF">
        <w:trPr>
          <w:trHeight w:val="300"/>
        </w:trPr>
        <w:tc>
          <w:tcPr>
            <w:tcW w:w="357"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Los 2</w:t>
            </w:r>
          </w:p>
        </w:tc>
        <w:tc>
          <w:tcPr>
            <w:tcW w:w="1079"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15085135</w:t>
            </w:r>
          </w:p>
        </w:tc>
        <w:tc>
          <w:tcPr>
            <w:tcW w:w="283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rPr>
                <w:rFonts w:ascii="Arial" w:eastAsia="Times New Roman" w:hAnsi="Arial" w:cs="Arial"/>
                <w:color w:val="000000"/>
                <w:lang w:eastAsia="de-DE"/>
              </w:rPr>
            </w:pPr>
            <w:r w:rsidRPr="00080C4F">
              <w:rPr>
                <w:rFonts w:ascii="Arial" w:eastAsia="Times New Roman" w:hAnsi="Arial" w:cs="Arial"/>
                <w:color w:val="000000"/>
                <w:lang w:eastAsia="de-DE"/>
              </w:rPr>
              <w:t>gigabitfähige Breitbandversorgung</w:t>
            </w:r>
          </w:p>
        </w:tc>
        <w:tc>
          <w:tcPr>
            <w:tcW w:w="73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2210</w:t>
            </w:r>
          </w:p>
        </w:tc>
      </w:tr>
      <w:tr w:rsidR="0054306F" w:rsidRPr="00080C4F" w:rsidTr="003F28FF">
        <w:trPr>
          <w:trHeight w:val="300"/>
        </w:trPr>
        <w:tc>
          <w:tcPr>
            <w:tcW w:w="357"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1079"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2834"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rPr>
                <w:rFonts w:ascii="Arial" w:eastAsia="Times New Roman" w:hAnsi="Arial" w:cs="Arial"/>
                <w:color w:val="000000"/>
                <w:lang w:eastAsia="de-DE"/>
              </w:rPr>
            </w:pPr>
            <w:r w:rsidRPr="00080C4F">
              <w:rPr>
                <w:rFonts w:ascii="Arial" w:eastAsia="Times New Roman" w:hAnsi="Arial" w:cs="Arial"/>
                <w:color w:val="000000"/>
                <w:lang w:eastAsia="de-DE"/>
              </w:rPr>
              <w:t>Versorgung mit einem flächendeckenden NGA-Netz</w:t>
            </w:r>
          </w:p>
        </w:tc>
        <w:tc>
          <w:tcPr>
            <w:tcW w:w="730"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r>
      <w:tr w:rsidR="0054306F" w:rsidRPr="00080C4F" w:rsidTr="003F28FF">
        <w:trPr>
          <w:trHeight w:val="300"/>
        </w:trPr>
        <w:tc>
          <w:tcPr>
            <w:tcW w:w="357"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1079"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2834"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rPr>
                <w:rFonts w:ascii="Arial" w:eastAsia="Times New Roman" w:hAnsi="Arial" w:cs="Arial"/>
                <w:color w:val="000000"/>
                <w:lang w:eastAsia="de-DE"/>
              </w:rPr>
            </w:pPr>
            <w:r w:rsidRPr="00080C4F">
              <w:rPr>
                <w:rFonts w:ascii="Arial" w:eastAsia="Times New Roman" w:hAnsi="Arial" w:cs="Arial"/>
                <w:color w:val="000000"/>
                <w:lang w:eastAsia="de-DE"/>
              </w:rPr>
              <w:t>in den unterversorgten Ortsteilen der Stadt Halberstadt:</w:t>
            </w:r>
          </w:p>
        </w:tc>
        <w:tc>
          <w:tcPr>
            <w:tcW w:w="730"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r>
      <w:tr w:rsidR="0054306F" w:rsidRPr="00080C4F" w:rsidTr="003F28FF">
        <w:trPr>
          <w:trHeight w:val="300"/>
        </w:trPr>
        <w:tc>
          <w:tcPr>
            <w:tcW w:w="357"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1079" w:type="pct"/>
            <w:tcBorders>
              <w:top w:val="nil"/>
              <w:left w:val="single" w:sz="12" w:space="0" w:color="auto"/>
              <w:bottom w:val="single" w:sz="4"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2834"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rPr>
                <w:rFonts w:ascii="Arial" w:eastAsia="Times New Roman" w:hAnsi="Arial" w:cs="Arial"/>
                <w:color w:val="000000"/>
                <w:lang w:eastAsia="de-DE"/>
              </w:rPr>
            </w:pPr>
            <w:r w:rsidRPr="00080C4F">
              <w:rPr>
                <w:rFonts w:ascii="Arial" w:eastAsia="Times New Roman" w:hAnsi="Arial" w:cs="Arial"/>
                <w:color w:val="000000"/>
                <w:lang w:eastAsia="de-DE"/>
              </w:rPr>
              <w:t xml:space="preserve">Langenstein, </w:t>
            </w:r>
            <w:proofErr w:type="spellStart"/>
            <w:r w:rsidRPr="00080C4F">
              <w:rPr>
                <w:rFonts w:ascii="Arial" w:eastAsia="Times New Roman" w:hAnsi="Arial" w:cs="Arial"/>
                <w:color w:val="000000"/>
                <w:lang w:eastAsia="de-DE"/>
              </w:rPr>
              <w:t>Böhnshausen</w:t>
            </w:r>
            <w:proofErr w:type="spellEnd"/>
            <w:r w:rsidRPr="00080C4F">
              <w:rPr>
                <w:rFonts w:ascii="Arial" w:eastAsia="Times New Roman" w:hAnsi="Arial" w:cs="Arial"/>
                <w:color w:val="000000"/>
                <w:lang w:eastAsia="de-DE"/>
              </w:rPr>
              <w:t xml:space="preserve">, </w:t>
            </w:r>
            <w:proofErr w:type="spellStart"/>
            <w:r w:rsidRPr="00080C4F">
              <w:rPr>
                <w:rFonts w:ascii="Arial" w:eastAsia="Times New Roman" w:hAnsi="Arial" w:cs="Arial"/>
                <w:color w:val="000000"/>
                <w:lang w:eastAsia="de-DE"/>
              </w:rPr>
              <w:t>Ströbeck</w:t>
            </w:r>
            <w:proofErr w:type="spellEnd"/>
            <w:r w:rsidRPr="00080C4F">
              <w:rPr>
                <w:rFonts w:ascii="Arial" w:eastAsia="Times New Roman" w:hAnsi="Arial" w:cs="Arial"/>
                <w:color w:val="000000"/>
                <w:lang w:eastAsia="de-DE"/>
              </w:rPr>
              <w:t xml:space="preserve">, </w:t>
            </w:r>
            <w:proofErr w:type="spellStart"/>
            <w:r w:rsidRPr="00080C4F">
              <w:rPr>
                <w:rFonts w:ascii="Arial" w:eastAsia="Times New Roman" w:hAnsi="Arial" w:cs="Arial"/>
                <w:color w:val="000000"/>
                <w:lang w:eastAsia="de-DE"/>
              </w:rPr>
              <w:t>Athenstedt</w:t>
            </w:r>
            <w:proofErr w:type="spellEnd"/>
            <w:r w:rsidRPr="00080C4F">
              <w:rPr>
                <w:rFonts w:ascii="Arial" w:eastAsia="Times New Roman" w:hAnsi="Arial" w:cs="Arial"/>
                <w:color w:val="000000"/>
                <w:lang w:eastAsia="de-DE"/>
              </w:rPr>
              <w:t xml:space="preserve">, </w:t>
            </w:r>
          </w:p>
        </w:tc>
        <w:tc>
          <w:tcPr>
            <w:tcW w:w="730" w:type="pct"/>
            <w:tcBorders>
              <w:top w:val="nil"/>
              <w:left w:val="single" w:sz="12" w:space="0" w:color="auto"/>
              <w:bottom w:val="single" w:sz="4" w:space="0" w:color="auto"/>
              <w:right w:val="single" w:sz="12" w:space="0" w:color="auto"/>
            </w:tcBorders>
            <w:shd w:val="clear" w:color="auto" w:fill="auto"/>
            <w:noWrap/>
            <w:vAlign w:val="bottom"/>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r>
      <w:tr w:rsidR="0054306F" w:rsidRPr="00080C4F" w:rsidTr="003F28FF">
        <w:trPr>
          <w:trHeight w:val="315"/>
        </w:trPr>
        <w:tc>
          <w:tcPr>
            <w:tcW w:w="357" w:type="pct"/>
            <w:tcBorders>
              <w:top w:val="nil"/>
              <w:left w:val="single" w:sz="12" w:space="0" w:color="auto"/>
              <w:bottom w:val="single" w:sz="12"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1079" w:type="pct"/>
            <w:tcBorders>
              <w:top w:val="nil"/>
              <w:left w:val="single" w:sz="12" w:space="0" w:color="auto"/>
              <w:bottom w:val="single" w:sz="12" w:space="0" w:color="auto"/>
              <w:right w:val="single" w:sz="12" w:space="0" w:color="auto"/>
            </w:tcBorders>
            <w:shd w:val="clear" w:color="auto" w:fill="auto"/>
            <w:noWrap/>
            <w:vAlign w:val="center"/>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c>
          <w:tcPr>
            <w:tcW w:w="2834" w:type="pct"/>
            <w:tcBorders>
              <w:top w:val="nil"/>
              <w:left w:val="single" w:sz="12" w:space="0" w:color="auto"/>
              <w:bottom w:val="single" w:sz="12" w:space="0" w:color="auto"/>
              <w:right w:val="single" w:sz="12" w:space="0" w:color="auto"/>
            </w:tcBorders>
            <w:shd w:val="clear" w:color="auto" w:fill="auto"/>
            <w:noWrap/>
            <w:vAlign w:val="bottom"/>
            <w:hideMark/>
          </w:tcPr>
          <w:p w:rsidR="0054306F" w:rsidRPr="00080C4F" w:rsidRDefault="0054306F" w:rsidP="00F65073">
            <w:pPr>
              <w:spacing w:after="0"/>
              <w:rPr>
                <w:rFonts w:ascii="Arial" w:eastAsia="Times New Roman" w:hAnsi="Arial" w:cs="Arial"/>
                <w:color w:val="000000"/>
                <w:lang w:eastAsia="de-DE"/>
              </w:rPr>
            </w:pPr>
            <w:proofErr w:type="spellStart"/>
            <w:r w:rsidRPr="00080C4F">
              <w:rPr>
                <w:rFonts w:ascii="Arial" w:eastAsia="Times New Roman" w:hAnsi="Arial" w:cs="Arial"/>
                <w:color w:val="000000"/>
                <w:lang w:eastAsia="de-DE"/>
              </w:rPr>
              <w:t>Aspenstedt</w:t>
            </w:r>
            <w:proofErr w:type="spellEnd"/>
            <w:r w:rsidRPr="00080C4F">
              <w:rPr>
                <w:rFonts w:ascii="Arial" w:eastAsia="Times New Roman" w:hAnsi="Arial" w:cs="Arial"/>
                <w:color w:val="000000"/>
                <w:lang w:eastAsia="de-DE"/>
              </w:rPr>
              <w:t xml:space="preserve">, </w:t>
            </w:r>
            <w:proofErr w:type="spellStart"/>
            <w:r w:rsidRPr="00080C4F">
              <w:rPr>
                <w:rFonts w:ascii="Arial" w:eastAsia="Times New Roman" w:hAnsi="Arial" w:cs="Arial"/>
                <w:color w:val="000000"/>
                <w:lang w:eastAsia="de-DE"/>
              </w:rPr>
              <w:t>Sargstedt</w:t>
            </w:r>
            <w:proofErr w:type="spellEnd"/>
            <w:r w:rsidRPr="00080C4F">
              <w:rPr>
                <w:rFonts w:ascii="Arial" w:eastAsia="Times New Roman" w:hAnsi="Arial" w:cs="Arial"/>
                <w:color w:val="000000"/>
                <w:lang w:eastAsia="de-DE"/>
              </w:rPr>
              <w:t xml:space="preserve">, </w:t>
            </w:r>
            <w:proofErr w:type="spellStart"/>
            <w:r w:rsidRPr="00080C4F">
              <w:rPr>
                <w:rFonts w:ascii="Arial" w:eastAsia="Times New Roman" w:hAnsi="Arial" w:cs="Arial"/>
                <w:color w:val="000000"/>
                <w:lang w:eastAsia="de-DE"/>
              </w:rPr>
              <w:t>Mahndorf</w:t>
            </w:r>
            <w:proofErr w:type="spellEnd"/>
            <w:r w:rsidRPr="00080C4F">
              <w:rPr>
                <w:rFonts w:ascii="Arial" w:eastAsia="Times New Roman" w:hAnsi="Arial" w:cs="Arial"/>
                <w:color w:val="000000"/>
                <w:lang w:eastAsia="de-DE"/>
              </w:rPr>
              <w:t>, Emersleben</w:t>
            </w:r>
          </w:p>
        </w:tc>
        <w:tc>
          <w:tcPr>
            <w:tcW w:w="730" w:type="pct"/>
            <w:tcBorders>
              <w:top w:val="nil"/>
              <w:left w:val="single" w:sz="12" w:space="0" w:color="auto"/>
              <w:bottom w:val="single" w:sz="12" w:space="0" w:color="auto"/>
              <w:right w:val="single" w:sz="12" w:space="0" w:color="auto"/>
            </w:tcBorders>
            <w:shd w:val="clear" w:color="auto" w:fill="auto"/>
            <w:noWrap/>
            <w:vAlign w:val="bottom"/>
            <w:hideMark/>
          </w:tcPr>
          <w:p w:rsidR="0054306F" w:rsidRPr="00080C4F" w:rsidRDefault="0054306F" w:rsidP="00F65073">
            <w:pPr>
              <w:spacing w:after="0"/>
              <w:jc w:val="center"/>
              <w:rPr>
                <w:rFonts w:ascii="Arial" w:eastAsia="Times New Roman" w:hAnsi="Arial" w:cs="Arial"/>
                <w:color w:val="000000"/>
                <w:lang w:eastAsia="de-DE"/>
              </w:rPr>
            </w:pPr>
            <w:r w:rsidRPr="00080C4F">
              <w:rPr>
                <w:rFonts w:ascii="Arial" w:eastAsia="Times New Roman" w:hAnsi="Arial" w:cs="Arial"/>
                <w:color w:val="000000"/>
                <w:lang w:eastAsia="de-DE"/>
              </w:rPr>
              <w:t> </w:t>
            </w:r>
          </w:p>
        </w:tc>
      </w:tr>
    </w:tbl>
    <w:p w:rsidR="0054306F" w:rsidRPr="00080C4F" w:rsidRDefault="0054306F" w:rsidP="00F65073">
      <w:pPr>
        <w:jc w:val="both"/>
        <w:rPr>
          <w:rFonts w:ascii="Arial" w:hAnsi="Arial" w:cs="Arial"/>
        </w:rPr>
      </w:pPr>
    </w:p>
    <w:p w:rsidR="0054306F" w:rsidRPr="00080C4F" w:rsidRDefault="0054306F" w:rsidP="00F65073">
      <w:pPr>
        <w:jc w:val="both"/>
        <w:rPr>
          <w:rFonts w:ascii="Arial" w:hAnsi="Arial" w:cs="Arial"/>
        </w:rPr>
      </w:pPr>
      <w:r w:rsidRPr="00080C4F">
        <w:rPr>
          <w:rFonts w:ascii="Arial" w:hAnsi="Arial" w:cs="Arial"/>
        </w:rPr>
        <w:lastRenderedPageBreak/>
        <w:t>Eine Auftragsvergabe ist als Einzel</w:t>
      </w:r>
      <w:r w:rsidR="008E1CE3" w:rsidRPr="00080C4F">
        <w:rPr>
          <w:rFonts w:ascii="Arial" w:hAnsi="Arial" w:cs="Arial"/>
        </w:rPr>
        <w:t>los, für beide Lose oder als Gesamtauftrag möglich. Ein Angebot muss für mindestens ein Los eingereicht werden. Es besteht keine Angebotspflicht für alle Lose. Nebenangebot</w:t>
      </w:r>
      <w:r w:rsidR="00AE126C">
        <w:rPr>
          <w:rFonts w:ascii="Arial" w:hAnsi="Arial" w:cs="Arial"/>
        </w:rPr>
        <w:t>e</w:t>
      </w:r>
      <w:r w:rsidR="008E1CE3" w:rsidRPr="00080C4F">
        <w:rPr>
          <w:rFonts w:ascii="Arial" w:hAnsi="Arial" w:cs="Arial"/>
        </w:rPr>
        <w:t xml:space="preserve"> </w:t>
      </w:r>
      <w:r w:rsidR="00AE126C">
        <w:rPr>
          <w:rFonts w:ascii="Arial" w:hAnsi="Arial" w:cs="Arial"/>
        </w:rPr>
        <w:t>sind</w:t>
      </w:r>
      <w:r w:rsidR="008E1CE3" w:rsidRPr="00080C4F">
        <w:rPr>
          <w:rFonts w:ascii="Arial" w:hAnsi="Arial" w:cs="Arial"/>
        </w:rPr>
        <w:t xml:space="preserve"> zugelassen. </w:t>
      </w:r>
    </w:p>
    <w:p w:rsidR="007259CE" w:rsidRDefault="006728F4" w:rsidP="00F65073">
      <w:pPr>
        <w:pStyle w:val="Default"/>
        <w:spacing w:line="276" w:lineRule="auto"/>
        <w:jc w:val="both"/>
        <w:rPr>
          <w:rFonts w:ascii="Arial" w:hAnsi="Arial" w:cs="Arial"/>
          <w:sz w:val="22"/>
          <w:szCs w:val="22"/>
        </w:rPr>
      </w:pPr>
      <w:r>
        <w:rPr>
          <w:rFonts w:ascii="Arial" w:hAnsi="Arial" w:cs="Arial"/>
          <w:sz w:val="22"/>
          <w:szCs w:val="22"/>
        </w:rPr>
        <w:t xml:space="preserve">Die </w:t>
      </w:r>
      <w:r w:rsidR="0020687D">
        <w:rPr>
          <w:rFonts w:ascii="Arial" w:hAnsi="Arial" w:cs="Arial"/>
          <w:sz w:val="22"/>
          <w:szCs w:val="22"/>
        </w:rPr>
        <w:t>Bereitstellung</w:t>
      </w:r>
      <w:r>
        <w:rPr>
          <w:rFonts w:ascii="Arial" w:hAnsi="Arial" w:cs="Arial"/>
          <w:sz w:val="22"/>
          <w:szCs w:val="22"/>
        </w:rPr>
        <w:t xml:space="preserve"> der im weißen Flecken Förderprogramm errichtete Trassen </w:t>
      </w:r>
      <w:r w:rsidR="0020687D">
        <w:rPr>
          <w:rFonts w:ascii="Arial" w:hAnsi="Arial" w:cs="Arial"/>
          <w:sz w:val="22"/>
          <w:szCs w:val="22"/>
        </w:rPr>
        <w:t>„Trassenbau“ können nicht zur Verfügung gestellt werden. Die Informationen sind im Breitbandatlas und ich Infrastrukturatlas zu entnehmen</w:t>
      </w:r>
      <w:r w:rsidR="007259CE">
        <w:rPr>
          <w:rFonts w:ascii="Arial" w:hAnsi="Arial" w:cs="Arial"/>
          <w:sz w:val="22"/>
          <w:szCs w:val="22"/>
        </w:rPr>
        <w:t>.</w:t>
      </w:r>
      <w:r w:rsidR="0020687D">
        <w:rPr>
          <w:rFonts w:ascii="Arial" w:hAnsi="Arial" w:cs="Arial"/>
          <w:sz w:val="22"/>
          <w:szCs w:val="22"/>
        </w:rPr>
        <w:t xml:space="preserve"> </w:t>
      </w:r>
    </w:p>
    <w:p w:rsidR="007259CE" w:rsidRDefault="007259CE" w:rsidP="00F65073">
      <w:pPr>
        <w:pStyle w:val="Default"/>
        <w:spacing w:line="276" w:lineRule="auto"/>
        <w:jc w:val="both"/>
        <w:rPr>
          <w:rFonts w:ascii="Arial" w:hAnsi="Arial" w:cs="Arial"/>
          <w:sz w:val="22"/>
          <w:szCs w:val="22"/>
        </w:rPr>
      </w:pPr>
    </w:p>
    <w:p w:rsidR="00AF1A13" w:rsidRPr="00080C4F" w:rsidRDefault="00AF1A13" w:rsidP="00F65073">
      <w:pPr>
        <w:pStyle w:val="Default"/>
        <w:spacing w:line="276" w:lineRule="auto"/>
        <w:jc w:val="both"/>
        <w:rPr>
          <w:rFonts w:ascii="Arial" w:hAnsi="Arial" w:cs="Arial"/>
          <w:sz w:val="22"/>
          <w:szCs w:val="22"/>
        </w:rPr>
      </w:pPr>
      <w:r w:rsidRPr="00080C4F">
        <w:rPr>
          <w:rFonts w:ascii="Arial" w:hAnsi="Arial" w:cs="Arial"/>
          <w:sz w:val="22"/>
          <w:szCs w:val="22"/>
        </w:rPr>
        <w:t xml:space="preserve">Der Konzessionsnehmer muss sämtliche Leistungen erbringen, die erforderlich sind, um die geforderte </w:t>
      </w:r>
      <w:r w:rsidR="008E1CE3" w:rsidRPr="00080C4F">
        <w:rPr>
          <w:rFonts w:ascii="Arial" w:hAnsi="Arial" w:cs="Arial"/>
          <w:sz w:val="22"/>
          <w:szCs w:val="22"/>
        </w:rPr>
        <w:t xml:space="preserve">gigabitfähige </w:t>
      </w:r>
      <w:r w:rsidRPr="00080C4F">
        <w:rPr>
          <w:rFonts w:ascii="Arial" w:hAnsi="Arial" w:cs="Arial"/>
          <w:sz w:val="22"/>
          <w:szCs w:val="22"/>
        </w:rPr>
        <w:t xml:space="preserve">Breitbandversorgung herzustellen und dauerhaft betreiben zu können. </w:t>
      </w:r>
    </w:p>
    <w:p w:rsidR="008E1CE3" w:rsidRPr="00080C4F" w:rsidRDefault="008E1CE3" w:rsidP="00F65073">
      <w:pPr>
        <w:pStyle w:val="Default"/>
        <w:spacing w:line="276" w:lineRule="auto"/>
        <w:jc w:val="both"/>
        <w:rPr>
          <w:rFonts w:ascii="Arial" w:hAnsi="Arial" w:cs="Arial"/>
          <w:sz w:val="22"/>
          <w:szCs w:val="22"/>
        </w:rPr>
      </w:pPr>
      <w:r w:rsidRPr="00080C4F">
        <w:rPr>
          <w:rFonts w:ascii="Arial" w:hAnsi="Arial" w:cs="Arial"/>
          <w:sz w:val="22"/>
          <w:szCs w:val="22"/>
        </w:rPr>
        <w:t xml:space="preserve">Das Angebot muss </w:t>
      </w:r>
      <w:r w:rsidR="001E0EAD">
        <w:rPr>
          <w:rFonts w:ascii="Arial" w:hAnsi="Arial" w:cs="Arial"/>
          <w:sz w:val="22"/>
          <w:szCs w:val="22"/>
        </w:rPr>
        <w:t xml:space="preserve">in Anlehnung nach § 6 Rahmenregelung Gigabitnetze </w:t>
      </w:r>
      <w:r w:rsidRPr="00080C4F">
        <w:rPr>
          <w:rFonts w:ascii="Arial" w:hAnsi="Arial" w:cs="Arial"/>
          <w:sz w:val="22"/>
          <w:szCs w:val="22"/>
        </w:rPr>
        <w:t>dabei folgende Angaben enthalten:</w:t>
      </w:r>
    </w:p>
    <w:p w:rsidR="008E1CE3" w:rsidRPr="00080C4F" w:rsidRDefault="00A01B02" w:rsidP="00F65073">
      <w:pPr>
        <w:pStyle w:val="Default"/>
        <w:numPr>
          <w:ilvl w:val="0"/>
          <w:numId w:val="1"/>
        </w:numPr>
        <w:spacing w:line="276" w:lineRule="auto"/>
        <w:jc w:val="both"/>
        <w:rPr>
          <w:rFonts w:ascii="Arial" w:hAnsi="Arial" w:cs="Arial"/>
          <w:sz w:val="22"/>
          <w:szCs w:val="22"/>
        </w:rPr>
      </w:pPr>
      <w:r w:rsidRPr="00080C4F">
        <w:rPr>
          <w:rFonts w:ascii="Arial" w:hAnsi="Arial" w:cs="Arial"/>
          <w:sz w:val="22"/>
          <w:szCs w:val="22"/>
        </w:rPr>
        <w:t xml:space="preserve">Höhe der Wirtschaftlichkeitslücke, die als Differenz zwischen dem Barwert aller Erlöse (Betriebseinnahmen) und dem Barwert aller Kosten des Netzausbaus und -betriebs (unter anderem für die notwendigen aktiven und passiven Netzelemente, die Errichtung der Netzinfrastrukturen einschließlich der notwendigen Erschließungsmaßnahmen, hiernach Investitionskosten), für einen Zeitraum von sieben Jahren ab Inbetriebnahme </w:t>
      </w:r>
      <w:r w:rsidR="00F5129F" w:rsidRPr="00080C4F">
        <w:rPr>
          <w:rFonts w:ascii="Arial" w:hAnsi="Arial" w:cs="Arial"/>
          <w:sz w:val="22"/>
          <w:szCs w:val="22"/>
        </w:rPr>
        <w:t>gemäß beiliegendem Berechnungsmuster darzustellen ist.</w:t>
      </w:r>
    </w:p>
    <w:p w:rsidR="007A49EA" w:rsidRPr="007A49EA" w:rsidRDefault="0030274A" w:rsidP="007A49EA">
      <w:pPr>
        <w:pStyle w:val="Listenabsatz"/>
        <w:numPr>
          <w:ilvl w:val="0"/>
          <w:numId w:val="1"/>
        </w:numPr>
        <w:spacing w:after="60"/>
        <w:jc w:val="both"/>
        <w:rPr>
          <w:rFonts w:ascii="Arial" w:hAnsi="Arial" w:cs="Arial"/>
        </w:rPr>
      </w:pPr>
      <w:r w:rsidRPr="007A49EA">
        <w:rPr>
          <w:rFonts w:ascii="Arial" w:hAnsi="Arial" w:cs="Arial"/>
        </w:rPr>
        <w:t>Technisches Konzept</w:t>
      </w:r>
      <w:r w:rsidR="00805641" w:rsidRPr="007A49EA">
        <w:rPr>
          <w:rFonts w:ascii="Arial" w:hAnsi="Arial" w:cs="Arial"/>
        </w:rPr>
        <w:t xml:space="preserve"> Breitbandnetzstruktur: </w:t>
      </w:r>
      <w:r w:rsidR="007A49EA" w:rsidRPr="007A49EA">
        <w:rPr>
          <w:rFonts w:ascii="Arial" w:hAnsi="Arial" w:cs="Arial"/>
        </w:rPr>
        <w:t xml:space="preserve">Der Bieter hat dem Angebot ein konkretes, klar strukturiertes, nachvollziehbares, auf das Ausbaugebiet bezogenes Konzept zur Errichtung und zum Betrieb des NGA-Netzes beizufügen. </w:t>
      </w:r>
    </w:p>
    <w:p w:rsidR="007A49EA" w:rsidRPr="007A49EA" w:rsidRDefault="007A49EA" w:rsidP="007A49EA">
      <w:pPr>
        <w:pStyle w:val="Listenabsatz"/>
        <w:spacing w:after="60"/>
        <w:jc w:val="both"/>
        <w:rPr>
          <w:rFonts w:ascii="Arial" w:hAnsi="Arial" w:cs="Arial"/>
        </w:rPr>
      </w:pPr>
      <w:r w:rsidRPr="007A49EA">
        <w:rPr>
          <w:rFonts w:ascii="Arial" w:hAnsi="Arial" w:cs="Arial"/>
        </w:rPr>
        <w:t xml:space="preserve">Das Konzept muss Angaben </w:t>
      </w:r>
    </w:p>
    <w:p w:rsidR="007A49EA" w:rsidRPr="007A49EA" w:rsidRDefault="007A49EA" w:rsidP="007A49EA">
      <w:pPr>
        <w:spacing w:after="60"/>
        <w:ind w:left="425" w:firstLine="283"/>
        <w:jc w:val="both"/>
        <w:rPr>
          <w:rFonts w:ascii="Arial" w:hAnsi="Arial" w:cs="Arial"/>
        </w:rPr>
      </w:pPr>
      <w:r w:rsidRPr="007A49EA">
        <w:rPr>
          <w:rFonts w:ascii="Arial" w:hAnsi="Arial" w:cs="Arial"/>
        </w:rPr>
        <w:t xml:space="preserve">1) zur Qualität der </w:t>
      </w:r>
      <w:proofErr w:type="spellStart"/>
      <w:r w:rsidRPr="007A49EA">
        <w:rPr>
          <w:rFonts w:ascii="Arial" w:hAnsi="Arial" w:cs="Arial"/>
        </w:rPr>
        <w:t>Backboneanbindung</w:t>
      </w:r>
      <w:proofErr w:type="spellEnd"/>
      <w:r w:rsidRPr="007A49EA">
        <w:rPr>
          <w:rFonts w:ascii="Arial" w:hAnsi="Arial" w:cs="Arial"/>
        </w:rPr>
        <w:t xml:space="preserve">, </w:t>
      </w:r>
    </w:p>
    <w:p w:rsidR="007A49EA" w:rsidRPr="007A49EA" w:rsidRDefault="007A49EA" w:rsidP="007A49EA">
      <w:pPr>
        <w:spacing w:after="60"/>
        <w:ind w:left="425" w:firstLine="283"/>
        <w:jc w:val="both"/>
        <w:rPr>
          <w:rFonts w:ascii="Arial" w:hAnsi="Arial" w:cs="Arial"/>
        </w:rPr>
      </w:pPr>
      <w:r w:rsidRPr="007A49EA">
        <w:rPr>
          <w:rFonts w:ascii="Arial" w:hAnsi="Arial" w:cs="Arial"/>
        </w:rPr>
        <w:t>2) zur Technik und Leistung des Verteilnetzes,</w:t>
      </w:r>
    </w:p>
    <w:p w:rsidR="007A49EA" w:rsidRPr="007A49EA" w:rsidRDefault="007A49EA" w:rsidP="007A49EA">
      <w:pPr>
        <w:spacing w:after="60"/>
        <w:ind w:left="425" w:firstLine="283"/>
        <w:jc w:val="both"/>
        <w:rPr>
          <w:rFonts w:ascii="Arial" w:hAnsi="Arial" w:cs="Arial"/>
        </w:rPr>
      </w:pPr>
      <w:r w:rsidRPr="007A49EA">
        <w:rPr>
          <w:rFonts w:ascii="Arial" w:hAnsi="Arial" w:cs="Arial"/>
        </w:rPr>
        <w:t xml:space="preserve">3) zur Zuverlässigkeit des Netzes im Betrieb, </w:t>
      </w:r>
    </w:p>
    <w:p w:rsidR="007A49EA" w:rsidRPr="007A49EA" w:rsidRDefault="007A49EA" w:rsidP="007A49EA">
      <w:pPr>
        <w:spacing w:after="60"/>
        <w:ind w:left="425" w:firstLine="283"/>
        <w:jc w:val="both"/>
        <w:rPr>
          <w:rFonts w:ascii="Arial" w:hAnsi="Arial" w:cs="Arial"/>
        </w:rPr>
      </w:pPr>
      <w:r w:rsidRPr="007A49EA">
        <w:rPr>
          <w:rFonts w:ascii="Arial" w:hAnsi="Arial" w:cs="Arial"/>
        </w:rPr>
        <w:t xml:space="preserve">4) zum Servicekonzept und den Entstörungszeiten, </w:t>
      </w:r>
    </w:p>
    <w:p w:rsidR="007A49EA" w:rsidRPr="007A49EA" w:rsidRDefault="007A49EA" w:rsidP="007A49EA">
      <w:pPr>
        <w:spacing w:after="60"/>
        <w:ind w:left="708"/>
        <w:jc w:val="both"/>
        <w:rPr>
          <w:rFonts w:ascii="Arial" w:hAnsi="Arial" w:cs="Arial"/>
        </w:rPr>
      </w:pPr>
      <w:r w:rsidRPr="007A49EA">
        <w:rPr>
          <w:rFonts w:ascii="Arial" w:hAnsi="Arial" w:cs="Arial"/>
        </w:rPr>
        <w:t>5) zur zeitlichen Verfügbarkeit einer symmetrischen Mindestübertragungsrate von 1 Gigabit/s und</w:t>
      </w:r>
    </w:p>
    <w:p w:rsidR="007A49EA" w:rsidRPr="007A49EA" w:rsidRDefault="007A49EA" w:rsidP="009C2D6F">
      <w:pPr>
        <w:spacing w:after="80"/>
        <w:ind w:left="425" w:firstLine="283"/>
        <w:jc w:val="both"/>
        <w:rPr>
          <w:rFonts w:ascii="Arial" w:hAnsi="Arial" w:cs="Arial"/>
        </w:rPr>
      </w:pPr>
      <w:r w:rsidRPr="007A49EA">
        <w:rPr>
          <w:rFonts w:ascii="Arial" w:hAnsi="Arial" w:cs="Arial"/>
        </w:rPr>
        <w:t>6) zur Upgradefähigkeit und Zukunftssicherheit enthalten.</w:t>
      </w:r>
    </w:p>
    <w:p w:rsidR="00366743" w:rsidRPr="007A49EA" w:rsidRDefault="00377DBB" w:rsidP="00060A97">
      <w:pPr>
        <w:pStyle w:val="Default"/>
        <w:numPr>
          <w:ilvl w:val="0"/>
          <w:numId w:val="1"/>
        </w:numPr>
        <w:spacing w:line="276" w:lineRule="auto"/>
        <w:jc w:val="both"/>
        <w:rPr>
          <w:rFonts w:ascii="Arial" w:hAnsi="Arial" w:cs="Arial"/>
          <w:sz w:val="22"/>
          <w:szCs w:val="22"/>
        </w:rPr>
      </w:pPr>
      <w:r w:rsidRPr="007A49EA">
        <w:rPr>
          <w:rFonts w:ascii="Arial" w:hAnsi="Arial" w:cs="Arial"/>
          <w:sz w:val="22"/>
          <w:szCs w:val="22"/>
        </w:rPr>
        <w:t>Angaben zur Höhe der Endkundenpreise, inklusive Bereitstellungsgebühr und Kosten für Endkundengeräte (aktuelle Produkte, differenziert nach Privathaushalten und Unternehmen).</w:t>
      </w:r>
    </w:p>
    <w:p w:rsidR="001E0EAD" w:rsidRDefault="008E61C8" w:rsidP="001E0EAD">
      <w:pPr>
        <w:pStyle w:val="Default"/>
        <w:numPr>
          <w:ilvl w:val="0"/>
          <w:numId w:val="1"/>
        </w:numPr>
        <w:spacing w:line="276" w:lineRule="auto"/>
        <w:jc w:val="both"/>
        <w:rPr>
          <w:rFonts w:ascii="Arial" w:hAnsi="Arial" w:cs="Arial"/>
          <w:sz w:val="22"/>
          <w:szCs w:val="22"/>
        </w:rPr>
      </w:pPr>
      <w:r>
        <w:rPr>
          <w:rFonts w:ascii="Arial" w:hAnsi="Arial" w:cs="Arial"/>
          <w:sz w:val="22"/>
          <w:szCs w:val="22"/>
        </w:rPr>
        <w:t>Angaben zu gleichartigen Referenzen (gleichartig: Auftragsgegenstand, Auftragshöhe, Auftraggeber, Auftragsart, etc.)</w:t>
      </w:r>
    </w:p>
    <w:p w:rsidR="001E0EAD" w:rsidRPr="001E0EAD" w:rsidRDefault="001E0EAD" w:rsidP="001E0EAD">
      <w:pPr>
        <w:pStyle w:val="Default"/>
        <w:numPr>
          <w:ilvl w:val="0"/>
          <w:numId w:val="1"/>
        </w:numPr>
        <w:spacing w:line="276" w:lineRule="auto"/>
        <w:jc w:val="both"/>
        <w:rPr>
          <w:rFonts w:ascii="Arial" w:hAnsi="Arial" w:cs="Arial"/>
          <w:sz w:val="22"/>
          <w:szCs w:val="22"/>
        </w:rPr>
      </w:pPr>
      <w:r w:rsidRPr="001E0EAD">
        <w:rPr>
          <w:rFonts w:ascii="Arial" w:hAnsi="Arial" w:cs="Arial"/>
          <w:sz w:val="22"/>
          <w:szCs w:val="22"/>
        </w:rPr>
        <w:t>Dem Angebot ist eine detaillierte Meilensteinplanung beizufügen, die das Erreichen bestimmter Ausbauziele und das Stellen von darauf bezogenen Teilrechnungen verdeutlicht. Der Baubeginn ist spätestens zum 01.01.2025 zu gewährleisten. Der Auftraggeber weist darauf hin, dass wesentliche Verzögerungen im Projektverlauf unverzüglich anzuzeigen sind. Eine Verlängerung der Projektlaufzeit ist nur auf begründeten Antrag hin möglich und kann demnach aktuell nicht zugesichert werden. In der Meilensteinplanung ist der Zeitpunkt der Inbetriebnahme des zu errichtenden gigabitfähigen Netzes zu benennen.</w:t>
      </w:r>
    </w:p>
    <w:p w:rsidR="008E1CE3" w:rsidRPr="00080C4F" w:rsidRDefault="008E1CE3" w:rsidP="00F65073">
      <w:pPr>
        <w:pStyle w:val="Default"/>
        <w:spacing w:line="276" w:lineRule="auto"/>
        <w:jc w:val="both"/>
        <w:rPr>
          <w:rFonts w:ascii="Arial" w:hAnsi="Arial" w:cs="Arial"/>
          <w:sz w:val="22"/>
          <w:szCs w:val="22"/>
        </w:rPr>
      </w:pPr>
    </w:p>
    <w:p w:rsidR="00A512CE" w:rsidRDefault="00A512CE" w:rsidP="00F65073">
      <w:pPr>
        <w:pStyle w:val="Default"/>
        <w:spacing w:line="276" w:lineRule="auto"/>
        <w:jc w:val="both"/>
        <w:rPr>
          <w:rFonts w:ascii="Arial" w:hAnsi="Arial" w:cs="Arial"/>
          <w:sz w:val="22"/>
          <w:szCs w:val="22"/>
        </w:rPr>
      </w:pPr>
    </w:p>
    <w:p w:rsidR="00A512CE" w:rsidRDefault="00A512CE" w:rsidP="00F65073">
      <w:pPr>
        <w:pStyle w:val="Default"/>
        <w:spacing w:line="276" w:lineRule="auto"/>
        <w:jc w:val="both"/>
        <w:rPr>
          <w:rFonts w:ascii="Arial" w:hAnsi="Arial" w:cs="Arial"/>
          <w:sz w:val="22"/>
          <w:szCs w:val="22"/>
        </w:rPr>
      </w:pPr>
    </w:p>
    <w:p w:rsidR="00871F80" w:rsidRDefault="002B517B" w:rsidP="00F65073">
      <w:pPr>
        <w:pStyle w:val="Default"/>
        <w:spacing w:line="276" w:lineRule="auto"/>
        <w:jc w:val="both"/>
        <w:rPr>
          <w:rFonts w:ascii="Arial" w:hAnsi="Arial" w:cs="Arial"/>
          <w:sz w:val="22"/>
          <w:szCs w:val="22"/>
        </w:rPr>
      </w:pPr>
      <w:bookmarkStart w:id="0" w:name="_GoBack"/>
      <w:bookmarkEnd w:id="0"/>
      <w:r>
        <w:rPr>
          <w:rFonts w:ascii="Arial" w:hAnsi="Arial" w:cs="Arial"/>
          <w:sz w:val="22"/>
          <w:szCs w:val="22"/>
        </w:rPr>
        <w:lastRenderedPageBreak/>
        <w:t xml:space="preserve">Weiterhin ist zu beachten, dass sowohl der Auftraggeber </w:t>
      </w:r>
      <w:r w:rsidR="006D7CF3">
        <w:rPr>
          <w:rFonts w:ascii="Arial" w:hAnsi="Arial" w:cs="Arial"/>
          <w:sz w:val="22"/>
          <w:szCs w:val="22"/>
        </w:rPr>
        <w:t>als auch</w:t>
      </w:r>
      <w:r w:rsidR="00734C1D">
        <w:rPr>
          <w:rFonts w:ascii="Arial" w:hAnsi="Arial" w:cs="Arial"/>
          <w:sz w:val="22"/>
          <w:szCs w:val="22"/>
        </w:rPr>
        <w:t xml:space="preserve"> der Konzessionsnehmer sich an die Erfüllungspflichten des Fördermittelgeber:</w:t>
      </w:r>
    </w:p>
    <w:p w:rsidR="00734C1D" w:rsidRDefault="00514867" w:rsidP="00F65073">
      <w:pPr>
        <w:pStyle w:val="Default"/>
        <w:numPr>
          <w:ilvl w:val="0"/>
          <w:numId w:val="2"/>
        </w:numPr>
        <w:spacing w:line="276" w:lineRule="auto"/>
        <w:jc w:val="both"/>
        <w:rPr>
          <w:rFonts w:ascii="Arial" w:hAnsi="Arial" w:cs="Arial"/>
          <w:sz w:val="22"/>
          <w:szCs w:val="22"/>
        </w:rPr>
      </w:pPr>
      <w:r>
        <w:rPr>
          <w:rFonts w:ascii="Arial" w:hAnsi="Arial" w:cs="Arial"/>
          <w:sz w:val="22"/>
          <w:szCs w:val="22"/>
        </w:rPr>
        <w:t>die</w:t>
      </w:r>
      <w:r w:rsidR="00734C1D">
        <w:rPr>
          <w:rFonts w:ascii="Arial" w:hAnsi="Arial" w:cs="Arial"/>
          <w:sz w:val="22"/>
          <w:szCs w:val="22"/>
        </w:rPr>
        <w:t xml:space="preserve"> Rahmenregelung der Bundesrepublik Deutschland zur Unterstützung des flächendeckenden Aufbaus von Gigabitnetzen in „grauen Flecken“ vom 31.03.202</w:t>
      </w:r>
      <w:r w:rsidR="00F40AE7">
        <w:rPr>
          <w:rFonts w:ascii="Arial" w:hAnsi="Arial" w:cs="Arial"/>
          <w:sz w:val="22"/>
          <w:szCs w:val="22"/>
        </w:rPr>
        <w:t>0 (Gigabit-Rahmenregelung),</w:t>
      </w:r>
    </w:p>
    <w:p w:rsidR="00F40AE7" w:rsidRDefault="00514867" w:rsidP="00F65073">
      <w:pPr>
        <w:pStyle w:val="Default"/>
        <w:numPr>
          <w:ilvl w:val="0"/>
          <w:numId w:val="2"/>
        </w:numPr>
        <w:spacing w:line="276" w:lineRule="auto"/>
        <w:jc w:val="both"/>
        <w:rPr>
          <w:rFonts w:ascii="Arial" w:hAnsi="Arial" w:cs="Arial"/>
          <w:sz w:val="22"/>
          <w:szCs w:val="22"/>
        </w:rPr>
      </w:pPr>
      <w:r>
        <w:rPr>
          <w:rFonts w:ascii="Arial" w:hAnsi="Arial" w:cs="Arial"/>
          <w:sz w:val="22"/>
          <w:szCs w:val="22"/>
        </w:rPr>
        <w:t>die</w:t>
      </w:r>
      <w:r w:rsidR="00F40AE7">
        <w:rPr>
          <w:rFonts w:ascii="Arial" w:hAnsi="Arial" w:cs="Arial"/>
          <w:sz w:val="22"/>
          <w:szCs w:val="22"/>
        </w:rPr>
        <w:t xml:space="preserve"> Richtlinie für </w:t>
      </w:r>
      <w:r w:rsidR="0035104A">
        <w:rPr>
          <w:rFonts w:ascii="Arial" w:hAnsi="Arial" w:cs="Arial"/>
          <w:sz w:val="22"/>
          <w:szCs w:val="22"/>
        </w:rPr>
        <w:t>d</w:t>
      </w:r>
      <w:r w:rsidR="00F40AE7">
        <w:rPr>
          <w:rFonts w:ascii="Arial" w:hAnsi="Arial" w:cs="Arial"/>
          <w:sz w:val="22"/>
          <w:szCs w:val="22"/>
        </w:rPr>
        <w:t>ie Förderung zur Unterstützung des Gigabitausbaus der Telekommunikationsnetze in der Bundesrepublik Deutschland vom 31.03.2023 (Gigabit-Richtlinie 2.0),</w:t>
      </w:r>
    </w:p>
    <w:p w:rsidR="00514867" w:rsidRDefault="00514867" w:rsidP="00F65073">
      <w:pPr>
        <w:pStyle w:val="Default"/>
        <w:numPr>
          <w:ilvl w:val="0"/>
          <w:numId w:val="2"/>
        </w:numPr>
        <w:spacing w:line="276" w:lineRule="auto"/>
        <w:jc w:val="both"/>
        <w:rPr>
          <w:rFonts w:ascii="Arial" w:hAnsi="Arial" w:cs="Arial"/>
          <w:sz w:val="22"/>
          <w:szCs w:val="22"/>
        </w:rPr>
      </w:pPr>
      <w:r>
        <w:rPr>
          <w:rFonts w:ascii="Arial" w:hAnsi="Arial" w:cs="Arial"/>
          <w:sz w:val="22"/>
          <w:szCs w:val="22"/>
        </w:rPr>
        <w:t xml:space="preserve">die Allgemeinen Nebenbestimmungen für </w:t>
      </w:r>
      <w:r w:rsidR="00697D6B">
        <w:rPr>
          <w:rFonts w:ascii="Arial" w:hAnsi="Arial" w:cs="Arial"/>
          <w:sz w:val="22"/>
          <w:szCs w:val="22"/>
        </w:rPr>
        <w:t>Zuwendungen</w:t>
      </w:r>
      <w:r>
        <w:rPr>
          <w:rFonts w:ascii="Arial" w:hAnsi="Arial" w:cs="Arial"/>
          <w:sz w:val="22"/>
          <w:szCs w:val="22"/>
        </w:rPr>
        <w:t xml:space="preserve"> zur Projektförderung an </w:t>
      </w:r>
      <w:r w:rsidR="00697D6B">
        <w:rPr>
          <w:rFonts w:ascii="Arial" w:hAnsi="Arial" w:cs="Arial"/>
          <w:sz w:val="22"/>
          <w:szCs w:val="22"/>
        </w:rPr>
        <w:t>Gebietskörperschaften</w:t>
      </w:r>
      <w:r>
        <w:rPr>
          <w:rFonts w:ascii="Arial" w:hAnsi="Arial" w:cs="Arial"/>
          <w:sz w:val="22"/>
          <w:szCs w:val="22"/>
        </w:rPr>
        <w:t xml:space="preserve"> und Zusammenschlüsse von Gebietskörperschaften,</w:t>
      </w:r>
    </w:p>
    <w:p w:rsidR="00514867" w:rsidRDefault="00065ED6" w:rsidP="00F65073">
      <w:pPr>
        <w:pStyle w:val="Default"/>
        <w:numPr>
          <w:ilvl w:val="0"/>
          <w:numId w:val="2"/>
        </w:numPr>
        <w:spacing w:line="276" w:lineRule="auto"/>
        <w:jc w:val="both"/>
        <w:rPr>
          <w:rFonts w:ascii="Arial" w:hAnsi="Arial" w:cs="Arial"/>
          <w:sz w:val="22"/>
          <w:szCs w:val="22"/>
        </w:rPr>
      </w:pPr>
      <w:r>
        <w:rPr>
          <w:rFonts w:ascii="Arial" w:hAnsi="Arial" w:cs="Arial"/>
          <w:sz w:val="22"/>
          <w:szCs w:val="22"/>
        </w:rPr>
        <w:t xml:space="preserve">die Besonderen </w:t>
      </w:r>
      <w:r w:rsidR="00A00EE9">
        <w:rPr>
          <w:rFonts w:ascii="Arial" w:hAnsi="Arial" w:cs="Arial"/>
          <w:sz w:val="22"/>
          <w:szCs w:val="22"/>
        </w:rPr>
        <w:t xml:space="preserve">Nebenbestimmungen </w:t>
      </w:r>
      <w:r w:rsidR="006C41E0">
        <w:rPr>
          <w:rFonts w:ascii="Arial" w:hAnsi="Arial" w:cs="Arial"/>
          <w:sz w:val="22"/>
          <w:szCs w:val="22"/>
        </w:rPr>
        <w:t>für die auf Grundlage der Richtlinie „Förderung zur Unterstützung des Gigabitausbaus der Telekommunikationsnetze in der Bundesrepublik Deutschland“ durchgeführten Antrags- u</w:t>
      </w:r>
      <w:r w:rsidR="00A430A7">
        <w:rPr>
          <w:rFonts w:ascii="Arial" w:hAnsi="Arial" w:cs="Arial"/>
          <w:sz w:val="22"/>
          <w:szCs w:val="22"/>
        </w:rPr>
        <w:t>nd Bewilligungsverfahren, die Umsetzung von Projekten und dazu gewährten Zuwendungen des Bundes, Stand 17.10.2022,</w:t>
      </w:r>
    </w:p>
    <w:p w:rsidR="00F40AE7" w:rsidRDefault="00514867" w:rsidP="00F65073">
      <w:pPr>
        <w:pStyle w:val="Default"/>
        <w:numPr>
          <w:ilvl w:val="0"/>
          <w:numId w:val="2"/>
        </w:numPr>
        <w:spacing w:line="276" w:lineRule="auto"/>
        <w:jc w:val="both"/>
        <w:rPr>
          <w:rFonts w:ascii="Arial" w:hAnsi="Arial" w:cs="Arial"/>
          <w:sz w:val="22"/>
          <w:szCs w:val="22"/>
        </w:rPr>
      </w:pPr>
      <w:r>
        <w:rPr>
          <w:rFonts w:ascii="Arial" w:hAnsi="Arial" w:cs="Arial"/>
          <w:sz w:val="22"/>
          <w:szCs w:val="22"/>
        </w:rPr>
        <w:t>die</w:t>
      </w:r>
      <w:r w:rsidR="00F40AE7">
        <w:rPr>
          <w:rFonts w:ascii="Arial" w:hAnsi="Arial" w:cs="Arial"/>
          <w:sz w:val="22"/>
          <w:szCs w:val="22"/>
        </w:rPr>
        <w:t xml:space="preserve"> GIS-Nebenbestimmungen, Version 5.1 vom 03.04.2023,</w:t>
      </w:r>
    </w:p>
    <w:p w:rsidR="00B366A6" w:rsidRDefault="00514867" w:rsidP="00F65073">
      <w:pPr>
        <w:pStyle w:val="Default"/>
        <w:numPr>
          <w:ilvl w:val="0"/>
          <w:numId w:val="2"/>
        </w:numPr>
        <w:spacing w:line="276" w:lineRule="auto"/>
        <w:jc w:val="both"/>
        <w:rPr>
          <w:rFonts w:ascii="Arial" w:hAnsi="Arial" w:cs="Arial"/>
          <w:sz w:val="22"/>
          <w:szCs w:val="22"/>
        </w:rPr>
      </w:pPr>
      <w:r>
        <w:rPr>
          <w:rFonts w:ascii="Arial" w:hAnsi="Arial" w:cs="Arial"/>
          <w:sz w:val="22"/>
          <w:szCs w:val="22"/>
        </w:rPr>
        <w:t>das</w:t>
      </w:r>
      <w:r w:rsidR="00F40AE7">
        <w:rPr>
          <w:rFonts w:ascii="Arial" w:hAnsi="Arial" w:cs="Arial"/>
          <w:sz w:val="22"/>
          <w:szCs w:val="22"/>
        </w:rPr>
        <w:t xml:space="preserve"> Einheitliche Materialkonzept und Vorgaben für die Dimension</w:t>
      </w:r>
      <w:r w:rsidR="0035104A">
        <w:rPr>
          <w:rFonts w:ascii="Arial" w:hAnsi="Arial" w:cs="Arial"/>
          <w:sz w:val="22"/>
          <w:szCs w:val="22"/>
        </w:rPr>
        <w:t>ierung passiver Infrastruktur im Rahmen des geförderten Breitbandausbaus, Version 5.0.1 vom 24.02.2022</w:t>
      </w:r>
      <w:r w:rsidR="00CB51D5">
        <w:rPr>
          <w:rFonts w:ascii="Arial" w:hAnsi="Arial" w:cs="Arial"/>
          <w:sz w:val="22"/>
          <w:szCs w:val="22"/>
        </w:rPr>
        <w:t xml:space="preserve"> </w:t>
      </w:r>
    </w:p>
    <w:p w:rsidR="00F40AE7" w:rsidRDefault="00F6251E" w:rsidP="00F65073">
      <w:pPr>
        <w:pStyle w:val="Default"/>
        <w:numPr>
          <w:ilvl w:val="0"/>
          <w:numId w:val="2"/>
        </w:numPr>
        <w:spacing w:line="276" w:lineRule="auto"/>
        <w:jc w:val="both"/>
        <w:rPr>
          <w:rFonts w:ascii="Arial" w:hAnsi="Arial" w:cs="Arial"/>
          <w:sz w:val="22"/>
          <w:szCs w:val="22"/>
        </w:rPr>
      </w:pPr>
      <w:r>
        <w:rPr>
          <w:rFonts w:ascii="Arial" w:hAnsi="Arial" w:cs="Arial"/>
          <w:sz w:val="22"/>
          <w:szCs w:val="22"/>
        </w:rPr>
        <w:t xml:space="preserve">die allgemeinen Nebenbestimmungen </w:t>
      </w:r>
      <w:r w:rsidR="007234B0">
        <w:rPr>
          <w:rFonts w:ascii="Arial" w:hAnsi="Arial" w:cs="Arial"/>
          <w:sz w:val="22"/>
          <w:szCs w:val="22"/>
        </w:rPr>
        <w:t xml:space="preserve">für Zuwendungen zur Projektförderung – mit Ausnahme von Nr. 3 </w:t>
      </w:r>
      <w:proofErr w:type="spellStart"/>
      <w:r w:rsidR="007234B0">
        <w:rPr>
          <w:rFonts w:ascii="Arial" w:hAnsi="Arial" w:cs="Arial"/>
          <w:sz w:val="22"/>
          <w:szCs w:val="22"/>
        </w:rPr>
        <w:t>ANBest</w:t>
      </w:r>
      <w:proofErr w:type="spellEnd"/>
      <w:r w:rsidR="007234B0">
        <w:rPr>
          <w:rFonts w:ascii="Arial" w:hAnsi="Arial" w:cs="Arial"/>
          <w:sz w:val="22"/>
          <w:szCs w:val="22"/>
        </w:rPr>
        <w:t xml:space="preserve">-P - </w:t>
      </w:r>
      <w:r w:rsidR="00CB51D5">
        <w:rPr>
          <w:rFonts w:ascii="Arial" w:hAnsi="Arial" w:cs="Arial"/>
          <w:sz w:val="22"/>
          <w:szCs w:val="22"/>
        </w:rPr>
        <w:t>zu halten hat.</w:t>
      </w:r>
    </w:p>
    <w:p w:rsidR="00627C49" w:rsidRDefault="00627C49" w:rsidP="00F65073">
      <w:pPr>
        <w:pStyle w:val="Default"/>
        <w:spacing w:line="276" w:lineRule="auto"/>
        <w:jc w:val="both"/>
        <w:rPr>
          <w:rFonts w:ascii="Arial" w:hAnsi="Arial" w:cs="Arial"/>
          <w:sz w:val="22"/>
          <w:szCs w:val="22"/>
        </w:rPr>
      </w:pPr>
    </w:p>
    <w:p w:rsidR="00A430A7" w:rsidRPr="00627C49" w:rsidRDefault="00627C49" w:rsidP="00F65073">
      <w:pPr>
        <w:pStyle w:val="Default"/>
        <w:spacing w:line="276" w:lineRule="auto"/>
        <w:jc w:val="both"/>
        <w:rPr>
          <w:rFonts w:ascii="Arial" w:hAnsi="Arial" w:cs="Arial"/>
          <w:sz w:val="22"/>
          <w:szCs w:val="22"/>
        </w:rPr>
      </w:pPr>
      <w:r w:rsidRPr="00627C49">
        <w:rPr>
          <w:rFonts w:ascii="Arial" w:hAnsi="Arial" w:cs="Arial"/>
          <w:sz w:val="22"/>
          <w:szCs w:val="22"/>
        </w:rPr>
        <w:t xml:space="preserve">zu richten hat. </w:t>
      </w:r>
      <w:r w:rsidR="00A430A7" w:rsidRPr="00627C49">
        <w:rPr>
          <w:rFonts w:ascii="Arial" w:hAnsi="Arial" w:cs="Arial"/>
          <w:sz w:val="22"/>
          <w:szCs w:val="22"/>
        </w:rPr>
        <w:t xml:space="preserve">Die Regelungen werden auf der Onlineplattform unter </w:t>
      </w:r>
      <w:hyperlink r:id="rId6" w:history="1">
        <w:r w:rsidR="00A430A7" w:rsidRPr="00627C49">
          <w:rPr>
            <w:rStyle w:val="Hyperlink"/>
            <w:rFonts w:ascii="Arial" w:hAnsi="Arial" w:cs="Arial"/>
            <w:sz w:val="22"/>
            <w:szCs w:val="22"/>
          </w:rPr>
          <w:t>https://gigabit-projekttraeger.de/downloads</w:t>
        </w:r>
      </w:hyperlink>
      <w:r w:rsidR="00A430A7" w:rsidRPr="00627C49">
        <w:rPr>
          <w:rFonts w:ascii="Arial" w:hAnsi="Arial" w:cs="Arial"/>
          <w:sz w:val="22"/>
          <w:szCs w:val="22"/>
        </w:rPr>
        <w:t xml:space="preserve"> </w:t>
      </w:r>
      <w:r w:rsidR="0097397A" w:rsidRPr="00627C49">
        <w:rPr>
          <w:rFonts w:ascii="Arial" w:hAnsi="Arial" w:cs="Arial"/>
          <w:sz w:val="22"/>
          <w:szCs w:val="22"/>
        </w:rPr>
        <w:t xml:space="preserve">zur Verfügung gestellt. </w:t>
      </w:r>
    </w:p>
    <w:p w:rsidR="003B2C4A" w:rsidRDefault="003B2C4A" w:rsidP="00F65073">
      <w:pPr>
        <w:pStyle w:val="Default"/>
        <w:spacing w:line="276" w:lineRule="auto"/>
        <w:jc w:val="both"/>
        <w:rPr>
          <w:rFonts w:ascii="Arial" w:hAnsi="Arial" w:cs="Arial"/>
          <w:sz w:val="22"/>
          <w:szCs w:val="22"/>
        </w:rPr>
      </w:pPr>
    </w:p>
    <w:p w:rsidR="00E81B98" w:rsidRPr="00D03E71" w:rsidRDefault="00D03E71" w:rsidP="00D03E71">
      <w:pPr>
        <w:autoSpaceDE w:val="0"/>
        <w:autoSpaceDN w:val="0"/>
        <w:adjustRightInd w:val="0"/>
        <w:spacing w:after="120" w:line="240" w:lineRule="auto"/>
        <w:jc w:val="both"/>
        <w:rPr>
          <w:rFonts w:ascii="Arial" w:hAnsi="Arial" w:cs="Arial"/>
          <w:color w:val="000000"/>
        </w:rPr>
      </w:pPr>
      <w:r w:rsidRPr="00D03E71">
        <w:rPr>
          <w:rFonts w:ascii="Arial" w:hAnsi="Arial" w:cs="Arial"/>
          <w:color w:val="000000"/>
        </w:rPr>
        <w:t xml:space="preserve">Folgende Eignungskriterien kommen als Nachweis der Eignung zum Tragen: </w:t>
      </w:r>
    </w:p>
    <w:p w:rsidR="00D03E71" w:rsidRPr="00D03E71" w:rsidRDefault="00D03E71" w:rsidP="00D03E71">
      <w:pPr>
        <w:autoSpaceDE w:val="0"/>
        <w:autoSpaceDN w:val="0"/>
        <w:adjustRightInd w:val="0"/>
        <w:spacing w:after="120" w:line="240" w:lineRule="auto"/>
        <w:jc w:val="both"/>
        <w:rPr>
          <w:rFonts w:ascii="Arial" w:hAnsi="Arial" w:cs="Arial"/>
          <w:color w:val="000000"/>
        </w:rPr>
      </w:pPr>
      <w:r w:rsidRPr="00D03E71">
        <w:rPr>
          <w:rFonts w:ascii="Arial" w:hAnsi="Arial" w:cs="Arial"/>
          <w:color w:val="000000"/>
        </w:rPr>
        <w:t>1. Nachweis der Zulassung als Netzbetreiber gemäß §</w:t>
      </w:r>
      <w:r w:rsidR="00E81B98">
        <w:rPr>
          <w:rFonts w:ascii="Arial" w:hAnsi="Arial" w:cs="Arial"/>
          <w:color w:val="000000"/>
        </w:rPr>
        <w:t>5</w:t>
      </w:r>
      <w:r w:rsidRPr="00D03E71">
        <w:rPr>
          <w:rFonts w:ascii="Arial" w:hAnsi="Arial" w:cs="Arial"/>
          <w:color w:val="000000"/>
        </w:rPr>
        <w:t xml:space="preserve"> Telekommunikationsgesetz (TKG)</w:t>
      </w:r>
      <w:r w:rsidR="00E81B98">
        <w:rPr>
          <w:rFonts w:ascii="Arial" w:hAnsi="Arial" w:cs="Arial"/>
          <w:color w:val="000000"/>
        </w:rPr>
        <w:t>.</w:t>
      </w:r>
      <w:r w:rsidRPr="00D03E71">
        <w:rPr>
          <w:rFonts w:ascii="Arial" w:hAnsi="Arial" w:cs="Arial"/>
          <w:color w:val="000000"/>
        </w:rPr>
        <w:t xml:space="preserve"> </w:t>
      </w:r>
    </w:p>
    <w:p w:rsidR="00D03E71" w:rsidRPr="00D03E71" w:rsidRDefault="00D03E71" w:rsidP="00D03E71">
      <w:pPr>
        <w:autoSpaceDE w:val="0"/>
        <w:autoSpaceDN w:val="0"/>
        <w:adjustRightInd w:val="0"/>
        <w:spacing w:after="120" w:line="240" w:lineRule="auto"/>
        <w:jc w:val="both"/>
        <w:rPr>
          <w:rFonts w:ascii="Arial" w:hAnsi="Arial" w:cs="Arial"/>
          <w:color w:val="000000"/>
        </w:rPr>
      </w:pPr>
      <w:r w:rsidRPr="00D03E71">
        <w:rPr>
          <w:rFonts w:ascii="Arial" w:hAnsi="Arial" w:cs="Arial"/>
          <w:color w:val="000000"/>
        </w:rPr>
        <w:t>2. Gültiger Nachweis über die Eintragung im Berufs- und Handelsregister oder vergleichbare Nachweise des jeweiligen Landes, in dem der Bewerber ansässig ist</w:t>
      </w:r>
      <w:r w:rsidR="00E81B98">
        <w:rPr>
          <w:rFonts w:ascii="Arial" w:hAnsi="Arial" w:cs="Arial"/>
          <w:color w:val="000000"/>
        </w:rPr>
        <w:t>.</w:t>
      </w:r>
    </w:p>
    <w:p w:rsidR="00D03E71" w:rsidRPr="00D03E71" w:rsidRDefault="00D03E71" w:rsidP="00D03E71">
      <w:pPr>
        <w:autoSpaceDE w:val="0"/>
        <w:autoSpaceDN w:val="0"/>
        <w:adjustRightInd w:val="0"/>
        <w:spacing w:after="120" w:line="240" w:lineRule="auto"/>
        <w:jc w:val="both"/>
        <w:rPr>
          <w:rFonts w:ascii="Arial" w:hAnsi="Arial" w:cs="Arial"/>
          <w:color w:val="000000"/>
        </w:rPr>
      </w:pPr>
      <w:r w:rsidRPr="00D03E71">
        <w:rPr>
          <w:rFonts w:ascii="Arial" w:hAnsi="Arial" w:cs="Arial"/>
          <w:color w:val="000000"/>
        </w:rPr>
        <w:t>3. Vorlage einer Kopie des aktuellen Versicherungsvertrages einer Betriebshaftpflichtversicherung oder Erklärung eines Versicherers, dass zum Zeitpunkt der Beauftragung eine Betriebshaftpflicht-versicherung vorliegen wird</w:t>
      </w:r>
      <w:r w:rsidR="00E81B98">
        <w:rPr>
          <w:rFonts w:ascii="Arial" w:hAnsi="Arial" w:cs="Arial"/>
          <w:color w:val="000000"/>
        </w:rPr>
        <w:t>.</w:t>
      </w:r>
      <w:r w:rsidRPr="00D03E71">
        <w:rPr>
          <w:rFonts w:ascii="Arial" w:hAnsi="Arial" w:cs="Arial"/>
          <w:color w:val="000000"/>
        </w:rPr>
        <w:t xml:space="preserve"> </w:t>
      </w:r>
    </w:p>
    <w:p w:rsidR="00D03E71" w:rsidRPr="00D03E71" w:rsidRDefault="00D03E71" w:rsidP="00D03E71">
      <w:pPr>
        <w:autoSpaceDE w:val="0"/>
        <w:autoSpaceDN w:val="0"/>
        <w:adjustRightInd w:val="0"/>
        <w:spacing w:after="120" w:line="240" w:lineRule="auto"/>
        <w:jc w:val="both"/>
        <w:rPr>
          <w:rFonts w:ascii="Arial" w:hAnsi="Arial" w:cs="Arial"/>
          <w:color w:val="000000"/>
        </w:rPr>
      </w:pPr>
      <w:r w:rsidRPr="00D03E71">
        <w:rPr>
          <w:rFonts w:ascii="Arial" w:hAnsi="Arial" w:cs="Arial"/>
          <w:color w:val="000000"/>
        </w:rPr>
        <w:t xml:space="preserve">4. Erklärung der Bereitschaft der Erbringung einer Gewährleistungsbürgschaft in Höhe </w:t>
      </w:r>
      <w:r w:rsidR="007A3678">
        <w:rPr>
          <w:rFonts w:ascii="Arial" w:hAnsi="Arial" w:cs="Arial"/>
          <w:color w:val="000000"/>
        </w:rPr>
        <w:t xml:space="preserve">von 10 Prozent </w:t>
      </w:r>
      <w:r w:rsidRPr="00D03E71">
        <w:rPr>
          <w:rFonts w:ascii="Arial" w:hAnsi="Arial" w:cs="Arial"/>
          <w:color w:val="000000"/>
        </w:rPr>
        <w:t>der Wirtschaftlichkeitslücke</w:t>
      </w:r>
      <w:r w:rsidR="00E81B98">
        <w:rPr>
          <w:rFonts w:ascii="Arial" w:hAnsi="Arial" w:cs="Arial"/>
          <w:color w:val="000000"/>
        </w:rPr>
        <w:t>.</w:t>
      </w:r>
      <w:r w:rsidRPr="00D03E71">
        <w:rPr>
          <w:rFonts w:ascii="Arial" w:hAnsi="Arial" w:cs="Arial"/>
          <w:color w:val="000000"/>
        </w:rPr>
        <w:t xml:space="preserve"> </w:t>
      </w:r>
    </w:p>
    <w:p w:rsidR="00D03E71" w:rsidRPr="00D03E71" w:rsidRDefault="00D03E71" w:rsidP="00D03E71">
      <w:pPr>
        <w:autoSpaceDE w:val="0"/>
        <w:autoSpaceDN w:val="0"/>
        <w:adjustRightInd w:val="0"/>
        <w:spacing w:after="120" w:line="240" w:lineRule="auto"/>
        <w:jc w:val="both"/>
        <w:rPr>
          <w:rFonts w:ascii="Arial" w:hAnsi="Arial" w:cs="Arial"/>
          <w:color w:val="000000"/>
        </w:rPr>
      </w:pPr>
      <w:r w:rsidRPr="00D03E71">
        <w:rPr>
          <w:rFonts w:ascii="Arial" w:hAnsi="Arial" w:cs="Arial"/>
          <w:color w:val="000000"/>
        </w:rPr>
        <w:t>5. Verpflichtungserklärung zur Herstellung eines offenen und diskriminierungsfreien Zugangs (auf Vorleistungsebene) und Angaben zur geplanten Art und Weise der Erfüllung dieser Verpflichtung (einschließlich indikativer Angabe möglicher Vorleistungspreise)</w:t>
      </w:r>
      <w:r w:rsidR="00E81B98">
        <w:rPr>
          <w:rFonts w:ascii="Arial" w:hAnsi="Arial" w:cs="Arial"/>
          <w:color w:val="000000"/>
        </w:rPr>
        <w:t>.</w:t>
      </w:r>
      <w:r w:rsidRPr="00D03E71">
        <w:rPr>
          <w:rFonts w:ascii="Arial" w:hAnsi="Arial" w:cs="Arial"/>
          <w:color w:val="000000"/>
        </w:rPr>
        <w:t xml:space="preserve"> </w:t>
      </w:r>
    </w:p>
    <w:p w:rsidR="00D03E71" w:rsidRPr="00D03E71" w:rsidRDefault="00D03E71" w:rsidP="00E81B98">
      <w:pPr>
        <w:autoSpaceDE w:val="0"/>
        <w:autoSpaceDN w:val="0"/>
        <w:adjustRightInd w:val="0"/>
        <w:spacing w:after="120" w:line="240" w:lineRule="auto"/>
        <w:jc w:val="both"/>
        <w:rPr>
          <w:rFonts w:ascii="Arial" w:hAnsi="Arial" w:cs="Arial"/>
          <w:color w:val="000000"/>
          <w:sz w:val="20"/>
          <w:szCs w:val="20"/>
        </w:rPr>
      </w:pPr>
      <w:r w:rsidRPr="00D03E71">
        <w:rPr>
          <w:rFonts w:ascii="Arial" w:hAnsi="Arial" w:cs="Arial"/>
          <w:color w:val="000000"/>
        </w:rPr>
        <w:t xml:space="preserve">6. </w:t>
      </w:r>
      <w:r w:rsidR="00E81B98">
        <w:rPr>
          <w:rFonts w:ascii="Arial" w:hAnsi="Arial" w:cs="Arial"/>
          <w:color w:val="000000"/>
        </w:rPr>
        <w:t xml:space="preserve">Erklärung zur Einhaltung der Bestimmungen des Gesetzes des Landes Sachsen-Anhalts zur Sicherung von Tariftreue, Sozialstandards und Wettbewerb bei der Vergabe öffentlicher Aufträge (Tariftreue- und Vergabegesetz Sachsen-Anhalt – </w:t>
      </w:r>
      <w:proofErr w:type="spellStart"/>
      <w:r w:rsidR="00E81B98">
        <w:rPr>
          <w:rFonts w:ascii="Arial" w:hAnsi="Arial" w:cs="Arial"/>
          <w:color w:val="000000"/>
        </w:rPr>
        <w:t>TvergG</w:t>
      </w:r>
      <w:proofErr w:type="spellEnd"/>
      <w:r w:rsidR="00E81B98">
        <w:rPr>
          <w:rFonts w:ascii="Arial" w:hAnsi="Arial" w:cs="Arial"/>
          <w:color w:val="000000"/>
        </w:rPr>
        <w:t xml:space="preserve"> LSA) vom 07.12.2022.</w:t>
      </w:r>
    </w:p>
    <w:p w:rsidR="003B2C4A" w:rsidRPr="00E81B98" w:rsidRDefault="003B2C4A" w:rsidP="00F65073">
      <w:pPr>
        <w:pStyle w:val="Default"/>
        <w:spacing w:line="276" w:lineRule="auto"/>
        <w:jc w:val="both"/>
        <w:rPr>
          <w:rFonts w:ascii="Arial" w:hAnsi="Arial" w:cs="Arial"/>
          <w:sz w:val="22"/>
          <w:szCs w:val="22"/>
        </w:rPr>
      </w:pPr>
    </w:p>
    <w:p w:rsidR="00E81B98" w:rsidRPr="00E81B98" w:rsidRDefault="00E81B98" w:rsidP="00E81B98">
      <w:pPr>
        <w:spacing w:after="120" w:line="300" w:lineRule="auto"/>
        <w:jc w:val="both"/>
        <w:rPr>
          <w:rFonts w:ascii="Arial" w:hAnsi="Arial" w:cs="Arial"/>
        </w:rPr>
      </w:pPr>
      <w:r w:rsidRPr="00E81B98">
        <w:rPr>
          <w:rFonts w:ascii="Arial" w:hAnsi="Arial" w:cs="Arial"/>
        </w:rPr>
        <w:t xml:space="preserve">Folgende Zuschlagskriterien und ihre Gewichtung </w:t>
      </w:r>
      <w:r w:rsidR="009A45C9">
        <w:rPr>
          <w:rFonts w:ascii="Arial" w:hAnsi="Arial" w:cs="Arial"/>
        </w:rPr>
        <w:t>werden bei der Bewertung der Angebote genutzt:</w:t>
      </w:r>
    </w:p>
    <w:p w:rsidR="00E81B98" w:rsidRPr="00E81B98" w:rsidRDefault="00E81B98" w:rsidP="00E81B98">
      <w:pPr>
        <w:pStyle w:val="Listenabsatz"/>
        <w:numPr>
          <w:ilvl w:val="0"/>
          <w:numId w:val="7"/>
        </w:numPr>
        <w:autoSpaceDE w:val="0"/>
        <w:autoSpaceDN w:val="0"/>
        <w:adjustRightInd w:val="0"/>
        <w:spacing w:after="120" w:line="300" w:lineRule="auto"/>
        <w:jc w:val="both"/>
        <w:rPr>
          <w:rFonts w:ascii="Arial" w:hAnsi="Arial" w:cs="Arial"/>
        </w:rPr>
      </w:pPr>
      <w:r w:rsidRPr="00E81B98">
        <w:rPr>
          <w:rFonts w:ascii="Arial" w:hAnsi="Arial" w:cs="Arial"/>
        </w:rPr>
        <w:t>Höhe der Wirtschaftlichkeitslücke</w:t>
      </w:r>
      <w:r w:rsidR="00F96B88">
        <w:rPr>
          <w:rFonts w:ascii="Arial" w:hAnsi="Arial" w:cs="Arial"/>
        </w:rPr>
        <w:t xml:space="preserve"> (siehe oben a))</w:t>
      </w:r>
      <w:r w:rsidRPr="00E81B98">
        <w:rPr>
          <w:rFonts w:ascii="Arial" w:hAnsi="Arial" w:cs="Arial"/>
        </w:rPr>
        <w:t xml:space="preserve">: </w:t>
      </w:r>
      <w:r w:rsidRPr="00E81B98">
        <w:rPr>
          <w:rFonts w:ascii="Arial" w:hAnsi="Arial" w:cs="Arial"/>
          <w:b/>
          <w:bCs/>
        </w:rPr>
        <w:t xml:space="preserve">50 Prozent </w:t>
      </w:r>
    </w:p>
    <w:p w:rsidR="00E81B98" w:rsidRPr="00E81B98" w:rsidRDefault="00E81B98" w:rsidP="00E81B98">
      <w:pPr>
        <w:pStyle w:val="Listenabsatz"/>
        <w:numPr>
          <w:ilvl w:val="0"/>
          <w:numId w:val="7"/>
        </w:numPr>
        <w:autoSpaceDE w:val="0"/>
        <w:autoSpaceDN w:val="0"/>
        <w:adjustRightInd w:val="0"/>
        <w:spacing w:after="120" w:line="300" w:lineRule="auto"/>
        <w:jc w:val="both"/>
        <w:rPr>
          <w:rFonts w:ascii="Arial" w:hAnsi="Arial" w:cs="Arial"/>
        </w:rPr>
      </w:pPr>
      <w:r w:rsidRPr="00E81B98">
        <w:rPr>
          <w:rFonts w:ascii="Arial" w:hAnsi="Arial" w:cs="Arial"/>
          <w:bCs/>
        </w:rPr>
        <w:t>Technisches Konzept</w:t>
      </w:r>
      <w:r w:rsidR="00F96B88">
        <w:rPr>
          <w:rFonts w:ascii="Arial" w:hAnsi="Arial" w:cs="Arial"/>
          <w:bCs/>
        </w:rPr>
        <w:t xml:space="preserve"> der Breitbandinfrastruktur (siehe oben b))</w:t>
      </w:r>
      <w:r w:rsidRPr="00E81B98">
        <w:rPr>
          <w:rFonts w:ascii="Arial" w:hAnsi="Arial" w:cs="Arial"/>
          <w:bCs/>
        </w:rPr>
        <w:t>:</w:t>
      </w:r>
      <w:r w:rsidRPr="00E81B98">
        <w:rPr>
          <w:rFonts w:ascii="Arial" w:hAnsi="Arial" w:cs="Arial"/>
          <w:b/>
          <w:bCs/>
        </w:rPr>
        <w:t xml:space="preserve"> </w:t>
      </w:r>
      <w:r w:rsidR="00F96B88">
        <w:rPr>
          <w:rFonts w:ascii="Arial" w:hAnsi="Arial" w:cs="Arial"/>
          <w:b/>
          <w:bCs/>
        </w:rPr>
        <w:t>30</w:t>
      </w:r>
      <w:r w:rsidRPr="00E81B98">
        <w:rPr>
          <w:rFonts w:ascii="Arial" w:hAnsi="Arial" w:cs="Arial"/>
          <w:b/>
          <w:bCs/>
        </w:rPr>
        <w:t xml:space="preserve"> Prozent</w:t>
      </w:r>
      <w:r w:rsidRPr="00E81B98">
        <w:rPr>
          <w:rFonts w:ascii="Arial" w:hAnsi="Arial" w:cs="Arial"/>
          <w:bCs/>
        </w:rPr>
        <w:t xml:space="preserve">, </w:t>
      </w:r>
      <w:r w:rsidR="00CE3ED3">
        <w:rPr>
          <w:rFonts w:ascii="Arial" w:hAnsi="Arial" w:cs="Arial"/>
          <w:bCs/>
        </w:rPr>
        <w:t>darunter:</w:t>
      </w:r>
    </w:p>
    <w:p w:rsidR="00E81B98" w:rsidRPr="00B46C0E" w:rsidRDefault="00CE3ED3" w:rsidP="00E81B98">
      <w:pPr>
        <w:pStyle w:val="Listenabsatz"/>
        <w:numPr>
          <w:ilvl w:val="1"/>
          <w:numId w:val="7"/>
        </w:numPr>
        <w:autoSpaceDE w:val="0"/>
        <w:autoSpaceDN w:val="0"/>
        <w:adjustRightInd w:val="0"/>
        <w:spacing w:after="120" w:line="300" w:lineRule="auto"/>
        <w:jc w:val="both"/>
        <w:rPr>
          <w:rFonts w:ascii="Arial" w:hAnsi="Arial" w:cs="Arial"/>
        </w:rPr>
      </w:pPr>
      <w:r>
        <w:rPr>
          <w:rFonts w:ascii="Arial" w:hAnsi="Arial" w:cs="Arial"/>
          <w:bCs/>
        </w:rPr>
        <w:t xml:space="preserve">Qualität der </w:t>
      </w:r>
      <w:proofErr w:type="spellStart"/>
      <w:r>
        <w:rPr>
          <w:rFonts w:ascii="Arial" w:hAnsi="Arial" w:cs="Arial"/>
          <w:bCs/>
        </w:rPr>
        <w:t>Backboneanbindung</w:t>
      </w:r>
      <w:proofErr w:type="spellEnd"/>
      <w:r>
        <w:rPr>
          <w:rFonts w:ascii="Arial" w:hAnsi="Arial" w:cs="Arial"/>
          <w:bCs/>
        </w:rPr>
        <w:t>: 10 Prozent</w:t>
      </w:r>
    </w:p>
    <w:p w:rsidR="00B46C0E" w:rsidRPr="00E81B98" w:rsidRDefault="00B46C0E" w:rsidP="00E81B98">
      <w:pPr>
        <w:pStyle w:val="Listenabsatz"/>
        <w:numPr>
          <w:ilvl w:val="1"/>
          <w:numId w:val="7"/>
        </w:numPr>
        <w:autoSpaceDE w:val="0"/>
        <w:autoSpaceDN w:val="0"/>
        <w:adjustRightInd w:val="0"/>
        <w:spacing w:after="120" w:line="300" w:lineRule="auto"/>
        <w:jc w:val="both"/>
        <w:rPr>
          <w:rFonts w:ascii="Arial" w:hAnsi="Arial" w:cs="Arial"/>
        </w:rPr>
      </w:pPr>
      <w:r>
        <w:rPr>
          <w:rFonts w:ascii="Arial" w:hAnsi="Arial" w:cs="Arial"/>
        </w:rPr>
        <w:lastRenderedPageBreak/>
        <w:t>Service-Konzept und Entstörungszeiten: 10 Prozent</w:t>
      </w:r>
    </w:p>
    <w:p w:rsidR="00B46C0E" w:rsidRPr="00B46C0E" w:rsidRDefault="00E81B98" w:rsidP="00E81B98">
      <w:pPr>
        <w:pStyle w:val="Listenabsatz"/>
        <w:numPr>
          <w:ilvl w:val="1"/>
          <w:numId w:val="7"/>
        </w:numPr>
        <w:autoSpaceDE w:val="0"/>
        <w:autoSpaceDN w:val="0"/>
        <w:adjustRightInd w:val="0"/>
        <w:spacing w:after="120" w:line="300" w:lineRule="auto"/>
        <w:jc w:val="both"/>
        <w:rPr>
          <w:rFonts w:ascii="Arial" w:hAnsi="Arial" w:cs="Arial"/>
        </w:rPr>
      </w:pPr>
      <w:r w:rsidRPr="00E81B98">
        <w:rPr>
          <w:rFonts w:ascii="Arial" w:hAnsi="Arial" w:cs="Arial"/>
          <w:bCs/>
        </w:rPr>
        <w:t>Zeitliche Verfügbarkeit einer Übertragungsrate von mindestens 100</w:t>
      </w:r>
      <w:r w:rsidR="00CE3ED3">
        <w:rPr>
          <w:rFonts w:ascii="Arial" w:hAnsi="Arial" w:cs="Arial"/>
          <w:bCs/>
        </w:rPr>
        <w:t>0</w:t>
      </w:r>
      <w:r w:rsidRPr="00E81B98">
        <w:rPr>
          <w:rFonts w:ascii="Arial" w:hAnsi="Arial" w:cs="Arial"/>
          <w:bCs/>
        </w:rPr>
        <w:t xml:space="preserve"> Mbit/s </w:t>
      </w:r>
    </w:p>
    <w:p w:rsidR="00E81B98" w:rsidRPr="00E81B98" w:rsidRDefault="00CE3ED3" w:rsidP="00B46C0E">
      <w:pPr>
        <w:pStyle w:val="Listenabsatz"/>
        <w:autoSpaceDE w:val="0"/>
        <w:autoSpaceDN w:val="0"/>
        <w:adjustRightInd w:val="0"/>
        <w:spacing w:after="120" w:line="300" w:lineRule="auto"/>
        <w:ind w:left="1440"/>
        <w:jc w:val="both"/>
        <w:rPr>
          <w:rFonts w:ascii="Arial" w:hAnsi="Arial" w:cs="Arial"/>
        </w:rPr>
      </w:pPr>
      <w:r>
        <w:rPr>
          <w:rFonts w:ascii="Arial" w:hAnsi="Arial" w:cs="Arial"/>
          <w:bCs/>
        </w:rPr>
        <w:t>5</w:t>
      </w:r>
      <w:r w:rsidR="00E81B98" w:rsidRPr="00E81B98">
        <w:rPr>
          <w:rFonts w:ascii="Arial" w:hAnsi="Arial" w:cs="Arial"/>
          <w:bCs/>
        </w:rPr>
        <w:t xml:space="preserve"> Prozent</w:t>
      </w:r>
    </w:p>
    <w:p w:rsidR="00E81B98" w:rsidRPr="00E81B98" w:rsidRDefault="00CE3ED3" w:rsidP="00E81B98">
      <w:pPr>
        <w:pStyle w:val="Listenabsatz"/>
        <w:numPr>
          <w:ilvl w:val="1"/>
          <w:numId w:val="7"/>
        </w:numPr>
        <w:autoSpaceDE w:val="0"/>
        <w:autoSpaceDN w:val="0"/>
        <w:adjustRightInd w:val="0"/>
        <w:spacing w:after="120" w:line="300" w:lineRule="auto"/>
        <w:jc w:val="both"/>
        <w:rPr>
          <w:rFonts w:ascii="Arial" w:hAnsi="Arial" w:cs="Arial"/>
        </w:rPr>
      </w:pPr>
      <w:r>
        <w:rPr>
          <w:rFonts w:ascii="Arial" w:hAnsi="Arial" w:cs="Arial"/>
        </w:rPr>
        <w:t>Upgradefähigkeit und Zukunftssicherheit: 5 Prozent</w:t>
      </w:r>
    </w:p>
    <w:p w:rsidR="00E81B98" w:rsidRPr="00E81B98" w:rsidRDefault="00E81B98" w:rsidP="00E81B98">
      <w:pPr>
        <w:pStyle w:val="Listenabsatz"/>
        <w:numPr>
          <w:ilvl w:val="0"/>
          <w:numId w:val="7"/>
        </w:numPr>
        <w:autoSpaceDE w:val="0"/>
        <w:autoSpaceDN w:val="0"/>
        <w:adjustRightInd w:val="0"/>
        <w:spacing w:after="120" w:line="300" w:lineRule="auto"/>
        <w:jc w:val="both"/>
        <w:rPr>
          <w:rFonts w:ascii="Arial" w:hAnsi="Arial" w:cs="Arial"/>
        </w:rPr>
      </w:pPr>
      <w:r w:rsidRPr="00E81B98">
        <w:rPr>
          <w:rFonts w:ascii="Arial" w:hAnsi="Arial" w:cs="Arial"/>
        </w:rPr>
        <w:t>Höhe der Endkundenpreise</w:t>
      </w:r>
      <w:r w:rsidR="002307A9">
        <w:rPr>
          <w:rFonts w:ascii="Arial" w:hAnsi="Arial" w:cs="Arial"/>
        </w:rPr>
        <w:t xml:space="preserve"> (siehe oben c))</w:t>
      </w:r>
      <w:r w:rsidRPr="00E81B98">
        <w:rPr>
          <w:rFonts w:ascii="Arial" w:hAnsi="Arial" w:cs="Arial"/>
        </w:rPr>
        <w:t xml:space="preserve">: </w:t>
      </w:r>
      <w:r w:rsidR="002307A9">
        <w:rPr>
          <w:rFonts w:ascii="Arial" w:hAnsi="Arial" w:cs="Arial"/>
          <w:b/>
        </w:rPr>
        <w:t>20</w:t>
      </w:r>
      <w:r w:rsidRPr="00E81B98">
        <w:rPr>
          <w:rFonts w:ascii="Arial" w:hAnsi="Arial" w:cs="Arial"/>
          <w:b/>
        </w:rPr>
        <w:t xml:space="preserve"> Prozent</w:t>
      </w:r>
    </w:p>
    <w:p w:rsidR="00154BED" w:rsidRDefault="003278F1" w:rsidP="00F65073">
      <w:pPr>
        <w:jc w:val="both"/>
        <w:rPr>
          <w:rFonts w:ascii="Arial" w:hAnsi="Arial" w:cs="Arial"/>
        </w:rPr>
      </w:pPr>
      <w:r w:rsidRPr="00080C4F">
        <w:rPr>
          <w:rFonts w:ascii="Arial" w:hAnsi="Arial" w:cs="Arial"/>
        </w:rPr>
        <w:t xml:space="preserve">Der Konzessionsnehmer muss eine Projektorganisation einrichten und vorhalten, damit die zugesicherte Ausbauplanung verzögerungsfrei, vollumfänglich und betriebsfähig umgesetzt wird. Die Projektorganisation wird dazu eng mit dem Landkreis zusammenarbeiten und ihn laufend (z.B. in wöchentlich wiederkehrenden Statusbesprechungen zur Darstellung der erreichten Bauleistung im Projekt, Inbetriebnahme von Netzabschnitten und Vermarktungserfolg oder im Falle von Projektabweichungen Besprechungstermine zur Darstellung der Notwendigkeit und des Umfangs der Projektabweichung) und umfassend über den Fortschritt der Arbeiten informieren. </w:t>
      </w:r>
      <w:r w:rsidR="00D60C0E">
        <w:rPr>
          <w:rFonts w:ascii="Arial" w:hAnsi="Arial" w:cs="Arial"/>
        </w:rPr>
        <w:t>D</w:t>
      </w:r>
      <w:r w:rsidR="00602226">
        <w:rPr>
          <w:rFonts w:ascii="Arial" w:hAnsi="Arial" w:cs="Arial"/>
        </w:rPr>
        <w:t xml:space="preserve">er Konzessionsnehmer </w:t>
      </w:r>
      <w:r w:rsidR="00D60C0E">
        <w:rPr>
          <w:rFonts w:ascii="Arial" w:hAnsi="Arial" w:cs="Arial"/>
        </w:rPr>
        <w:t xml:space="preserve">wird </w:t>
      </w:r>
      <w:r w:rsidR="00602226">
        <w:rPr>
          <w:rFonts w:ascii="Arial" w:hAnsi="Arial" w:cs="Arial"/>
        </w:rPr>
        <w:t xml:space="preserve">verpflichtet, in einem zwei monatigen Rhythmus, </w:t>
      </w:r>
      <w:r w:rsidR="00C24064">
        <w:rPr>
          <w:rFonts w:ascii="Arial" w:hAnsi="Arial" w:cs="Arial"/>
        </w:rPr>
        <w:t xml:space="preserve">entsprechend </w:t>
      </w:r>
      <w:r w:rsidR="0028511F">
        <w:rPr>
          <w:rFonts w:ascii="Arial" w:hAnsi="Arial" w:cs="Arial"/>
        </w:rPr>
        <w:t xml:space="preserve">den aktuellen Vorgaben des Fördermittelgebers </w:t>
      </w:r>
      <w:r w:rsidR="002554BE">
        <w:rPr>
          <w:rFonts w:ascii="Arial" w:hAnsi="Arial" w:cs="Arial"/>
        </w:rPr>
        <w:t>allen Dokumentationspflichten</w:t>
      </w:r>
      <w:r w:rsidR="00602226">
        <w:rPr>
          <w:rFonts w:ascii="Arial" w:hAnsi="Arial" w:cs="Arial"/>
        </w:rPr>
        <w:t xml:space="preserve"> zum Projektsta</w:t>
      </w:r>
      <w:r w:rsidR="00863D23">
        <w:rPr>
          <w:rFonts w:ascii="Arial" w:hAnsi="Arial" w:cs="Arial"/>
        </w:rPr>
        <w:t>tus an den Auftraggeber zu übermitteln</w:t>
      </w:r>
      <w:r w:rsidR="001C08D9">
        <w:rPr>
          <w:rFonts w:ascii="Arial" w:hAnsi="Arial" w:cs="Arial"/>
        </w:rPr>
        <w:t xml:space="preserve"> (Monitoring)</w:t>
      </w:r>
      <w:r w:rsidR="00863D23">
        <w:rPr>
          <w:rFonts w:ascii="Arial" w:hAnsi="Arial" w:cs="Arial"/>
        </w:rPr>
        <w:t xml:space="preserve">. Aufbau und Struktur </w:t>
      </w:r>
      <w:r w:rsidR="001C08D9">
        <w:rPr>
          <w:rFonts w:ascii="Arial" w:hAnsi="Arial" w:cs="Arial"/>
        </w:rPr>
        <w:t xml:space="preserve">sind zurzeit noch nicht verfügbar. </w:t>
      </w:r>
    </w:p>
    <w:p w:rsidR="003278F1" w:rsidRPr="00080C4F" w:rsidRDefault="003278F1" w:rsidP="00F65073">
      <w:pPr>
        <w:jc w:val="both"/>
        <w:rPr>
          <w:rFonts w:ascii="Arial" w:hAnsi="Arial" w:cs="Arial"/>
        </w:rPr>
      </w:pPr>
      <w:r w:rsidRPr="00080C4F">
        <w:rPr>
          <w:rFonts w:ascii="Arial" w:hAnsi="Arial" w:cs="Arial"/>
        </w:rPr>
        <w:t xml:space="preserve">Der Konzessionsnehmer wird an Arbeitsgruppen- und Ausschusssitzungen auf Wunsch des Landkreises teilnehmen und erforderlichenfalls Präsentationen über den aktuellen Projektstand und die anstehenden Schritte durchführen. </w:t>
      </w:r>
    </w:p>
    <w:p w:rsidR="003278F1" w:rsidRPr="00080C4F" w:rsidRDefault="003278F1" w:rsidP="00F65073">
      <w:pPr>
        <w:jc w:val="both"/>
        <w:rPr>
          <w:rFonts w:ascii="Arial" w:hAnsi="Arial" w:cs="Arial"/>
        </w:rPr>
      </w:pPr>
      <w:r w:rsidRPr="00080C4F">
        <w:rPr>
          <w:rFonts w:ascii="Arial" w:hAnsi="Arial" w:cs="Arial"/>
        </w:rPr>
        <w:t>Des Weiteren muss Konzessionsnehmer Strukturen vorhalten, die eine fortlaufende, störungsfreie und anforderungsgerechte Leistungserbringung in dem errichteten Netz sicherstellen. Ein nachvollziehbares Entstörungskonzept ist zu erarbeiten.</w:t>
      </w:r>
    </w:p>
    <w:p w:rsidR="00A87C93" w:rsidRDefault="0039154E" w:rsidP="00A87C93">
      <w:pPr>
        <w:pStyle w:val="Default"/>
        <w:spacing w:line="276" w:lineRule="auto"/>
        <w:jc w:val="both"/>
        <w:rPr>
          <w:rFonts w:ascii="Arial" w:hAnsi="Arial" w:cs="Arial"/>
          <w:sz w:val="22"/>
          <w:szCs w:val="22"/>
        </w:rPr>
      </w:pPr>
      <w:r>
        <w:rPr>
          <w:rFonts w:ascii="Arial" w:hAnsi="Arial" w:cs="Arial"/>
          <w:sz w:val="22"/>
          <w:szCs w:val="22"/>
        </w:rPr>
        <w:t>Der Landkreis Harz beabsichtigt mit allen gemäß o.g. Kriterien geeigneten Bietern nach Vorlage der Angebote eine Verhandlung durchzuführen. Über die Verhandlung wird ein Protokoll gefertigt. Im Anschluss an die Verhand</w:t>
      </w:r>
      <w:r w:rsidR="00D75A8B">
        <w:rPr>
          <w:rFonts w:ascii="Arial" w:hAnsi="Arial" w:cs="Arial"/>
          <w:sz w:val="22"/>
          <w:szCs w:val="22"/>
        </w:rPr>
        <w:t xml:space="preserve">lung haben alle Bieter die Möglichkeit ein verändertes Angebot </w:t>
      </w:r>
      <w:r w:rsidR="00A104E6">
        <w:rPr>
          <w:rFonts w:ascii="Arial" w:hAnsi="Arial" w:cs="Arial"/>
          <w:sz w:val="22"/>
          <w:szCs w:val="22"/>
        </w:rPr>
        <w:t>einzureichen, das dann erneut auf der Basis der o.g. Zuschlagskriterien bewertet wird.</w:t>
      </w:r>
    </w:p>
    <w:p w:rsidR="00A104E6" w:rsidRDefault="00A104E6" w:rsidP="00A87C93">
      <w:pPr>
        <w:pStyle w:val="Default"/>
        <w:spacing w:line="276" w:lineRule="auto"/>
        <w:jc w:val="both"/>
        <w:rPr>
          <w:rFonts w:ascii="Arial" w:hAnsi="Arial" w:cs="Arial"/>
          <w:sz w:val="22"/>
          <w:szCs w:val="22"/>
        </w:rPr>
      </w:pPr>
    </w:p>
    <w:p w:rsidR="00A104E6" w:rsidRDefault="00A104E6" w:rsidP="00A87C93">
      <w:pPr>
        <w:pStyle w:val="Default"/>
        <w:spacing w:line="276" w:lineRule="auto"/>
        <w:jc w:val="both"/>
        <w:rPr>
          <w:rFonts w:ascii="Arial" w:hAnsi="Arial" w:cs="Arial"/>
          <w:sz w:val="22"/>
          <w:szCs w:val="22"/>
        </w:rPr>
      </w:pPr>
      <w:r>
        <w:rPr>
          <w:rFonts w:ascii="Arial" w:hAnsi="Arial" w:cs="Arial"/>
          <w:sz w:val="22"/>
          <w:szCs w:val="22"/>
        </w:rPr>
        <w:t>Bedingung für die Förderung des Vorhabens ist die Erfüllung der Bewilligungsvoraussetzungen im Rahmen verfügbarer Haushaltsmittel. Insoweit besteht kein Anspruch auf Vertragsabschluss.</w:t>
      </w:r>
    </w:p>
    <w:p w:rsidR="00A104E6" w:rsidRDefault="00A104E6" w:rsidP="00A87C93">
      <w:pPr>
        <w:pStyle w:val="Default"/>
        <w:spacing w:line="276" w:lineRule="auto"/>
        <w:jc w:val="both"/>
        <w:rPr>
          <w:rFonts w:ascii="Arial" w:hAnsi="Arial" w:cs="Arial"/>
          <w:sz w:val="22"/>
          <w:szCs w:val="22"/>
        </w:rPr>
      </w:pPr>
    </w:p>
    <w:p w:rsidR="00A87C93" w:rsidRDefault="00A75A66" w:rsidP="00A87C93">
      <w:pPr>
        <w:pStyle w:val="Default"/>
        <w:spacing w:line="276" w:lineRule="auto"/>
        <w:jc w:val="both"/>
        <w:rPr>
          <w:rFonts w:ascii="Arial" w:hAnsi="Arial" w:cs="Arial"/>
          <w:sz w:val="22"/>
          <w:szCs w:val="22"/>
        </w:rPr>
      </w:pPr>
      <w:r>
        <w:rPr>
          <w:rFonts w:ascii="Arial" w:hAnsi="Arial" w:cs="Arial"/>
          <w:sz w:val="22"/>
          <w:szCs w:val="22"/>
        </w:rPr>
        <w:t xml:space="preserve">Die erbetenen Angaben und Anlagen sind elektronisch über die Vergabeplattform </w:t>
      </w:r>
      <w:r w:rsidRPr="00A75A66">
        <w:rPr>
          <w:rFonts w:ascii="Arial" w:hAnsi="Arial" w:cs="Arial"/>
          <w:b/>
          <w:sz w:val="22"/>
          <w:szCs w:val="22"/>
        </w:rPr>
        <w:t xml:space="preserve">bis zum </w:t>
      </w:r>
      <w:proofErr w:type="spellStart"/>
      <w:r w:rsidRPr="00A75A66">
        <w:rPr>
          <w:rFonts w:ascii="Arial" w:hAnsi="Arial" w:cs="Arial"/>
          <w:b/>
          <w:sz w:val="22"/>
          <w:szCs w:val="22"/>
        </w:rPr>
        <w:t>xx.</w:t>
      </w:r>
      <w:proofErr w:type="gramStart"/>
      <w:r w:rsidRPr="00A75A66">
        <w:rPr>
          <w:rFonts w:ascii="Arial" w:hAnsi="Arial" w:cs="Arial"/>
          <w:b/>
          <w:sz w:val="22"/>
          <w:szCs w:val="22"/>
        </w:rPr>
        <w:t>xx.xxxx</w:t>
      </w:r>
      <w:proofErr w:type="gramEnd"/>
      <w:r w:rsidRPr="00A75A66">
        <w:rPr>
          <w:rFonts w:ascii="Arial" w:hAnsi="Arial" w:cs="Arial"/>
          <w:b/>
          <w:sz w:val="22"/>
          <w:szCs w:val="22"/>
        </w:rPr>
        <w:t>,xx:xx</w:t>
      </w:r>
      <w:proofErr w:type="spellEnd"/>
      <w:r w:rsidRPr="00A75A66">
        <w:rPr>
          <w:rFonts w:ascii="Arial" w:hAnsi="Arial" w:cs="Arial"/>
          <w:b/>
          <w:sz w:val="22"/>
          <w:szCs w:val="22"/>
        </w:rPr>
        <w:t xml:space="preserve"> Uhr</w:t>
      </w:r>
      <w:r>
        <w:rPr>
          <w:rFonts w:ascii="Arial" w:hAnsi="Arial" w:cs="Arial"/>
          <w:sz w:val="22"/>
          <w:szCs w:val="22"/>
        </w:rPr>
        <w:t xml:space="preserve"> einzureichen.</w:t>
      </w:r>
    </w:p>
    <w:p w:rsidR="00A75A66" w:rsidRDefault="00A75A66" w:rsidP="00A87C93">
      <w:pPr>
        <w:pStyle w:val="Default"/>
        <w:spacing w:line="276" w:lineRule="auto"/>
        <w:jc w:val="both"/>
        <w:rPr>
          <w:rFonts w:ascii="Arial" w:hAnsi="Arial" w:cs="Arial"/>
          <w:sz w:val="22"/>
          <w:szCs w:val="22"/>
        </w:rPr>
      </w:pPr>
    </w:p>
    <w:p w:rsidR="00A75A66" w:rsidRPr="00A75A66" w:rsidRDefault="00A75A66" w:rsidP="00A87C93">
      <w:pPr>
        <w:pStyle w:val="Default"/>
        <w:spacing w:line="276" w:lineRule="auto"/>
        <w:jc w:val="both"/>
        <w:rPr>
          <w:rFonts w:ascii="Arial" w:hAnsi="Arial" w:cs="Arial"/>
          <w:b/>
          <w:sz w:val="22"/>
          <w:szCs w:val="22"/>
        </w:rPr>
      </w:pPr>
      <w:r w:rsidRPr="00A75A66">
        <w:rPr>
          <w:rFonts w:ascii="Arial" w:hAnsi="Arial" w:cs="Arial"/>
          <w:b/>
          <w:sz w:val="22"/>
          <w:szCs w:val="22"/>
        </w:rPr>
        <w:t>Ansprechpartner:</w:t>
      </w:r>
    </w:p>
    <w:p w:rsidR="00A75A66" w:rsidRDefault="00A75A66" w:rsidP="00A87C93">
      <w:pPr>
        <w:pStyle w:val="Default"/>
        <w:spacing w:line="276" w:lineRule="auto"/>
        <w:jc w:val="both"/>
        <w:rPr>
          <w:rFonts w:ascii="Arial" w:hAnsi="Arial" w:cs="Arial"/>
          <w:sz w:val="22"/>
          <w:szCs w:val="22"/>
        </w:rPr>
      </w:pPr>
    </w:p>
    <w:p w:rsidR="00A75A66" w:rsidRPr="00A75A66" w:rsidRDefault="00A75A66" w:rsidP="00195FD8">
      <w:pPr>
        <w:autoSpaceDE w:val="0"/>
        <w:autoSpaceDN w:val="0"/>
        <w:adjustRightInd w:val="0"/>
        <w:spacing w:after="120" w:line="240" w:lineRule="auto"/>
        <w:rPr>
          <w:rFonts w:ascii="Arial" w:hAnsi="Arial" w:cs="Arial"/>
          <w:color w:val="000000"/>
        </w:rPr>
      </w:pPr>
      <w:r w:rsidRPr="00A75A66">
        <w:rPr>
          <w:rFonts w:ascii="Arial" w:hAnsi="Arial" w:cs="Arial"/>
          <w:color w:val="000000"/>
        </w:rPr>
        <w:t xml:space="preserve">Name: </w:t>
      </w:r>
      <w:r w:rsidRPr="00A75A66">
        <w:rPr>
          <w:rFonts w:ascii="Arial" w:hAnsi="Arial" w:cs="Arial"/>
          <w:color w:val="000000"/>
        </w:rPr>
        <w:tab/>
        <w:t>Landkreis Harz, Zentrale Vergabestelle</w:t>
      </w:r>
    </w:p>
    <w:p w:rsidR="00A75A66" w:rsidRPr="00A75A66" w:rsidRDefault="00A75A66" w:rsidP="00A75A66">
      <w:pPr>
        <w:autoSpaceDE w:val="0"/>
        <w:autoSpaceDN w:val="0"/>
        <w:adjustRightInd w:val="0"/>
        <w:spacing w:after="120" w:line="240" w:lineRule="auto"/>
        <w:rPr>
          <w:rFonts w:ascii="Arial" w:hAnsi="Arial" w:cs="Arial"/>
          <w:color w:val="000000"/>
        </w:rPr>
      </w:pPr>
      <w:r w:rsidRPr="00A75A66">
        <w:rPr>
          <w:rFonts w:ascii="Arial" w:hAnsi="Arial" w:cs="Arial"/>
          <w:color w:val="000000"/>
        </w:rPr>
        <w:t xml:space="preserve">Adresse: </w:t>
      </w:r>
      <w:r w:rsidRPr="00A75A66">
        <w:rPr>
          <w:rFonts w:ascii="Arial" w:hAnsi="Arial" w:cs="Arial"/>
          <w:color w:val="000000"/>
        </w:rPr>
        <w:tab/>
        <w:t xml:space="preserve">Friedrich-Ebert-Str. 42 </w:t>
      </w:r>
    </w:p>
    <w:p w:rsidR="00223AEB" w:rsidRPr="00A75A66" w:rsidRDefault="00A75A66" w:rsidP="00223AEB">
      <w:pPr>
        <w:autoSpaceDE w:val="0"/>
        <w:autoSpaceDN w:val="0"/>
        <w:adjustRightInd w:val="0"/>
        <w:spacing w:after="120" w:line="240" w:lineRule="auto"/>
        <w:ind w:left="708" w:firstLine="708"/>
        <w:rPr>
          <w:rFonts w:ascii="Arial" w:hAnsi="Arial" w:cs="Arial"/>
          <w:color w:val="000000"/>
        </w:rPr>
      </w:pPr>
      <w:r w:rsidRPr="00A75A66">
        <w:rPr>
          <w:rFonts w:ascii="Arial" w:hAnsi="Arial" w:cs="Arial"/>
          <w:color w:val="000000"/>
        </w:rPr>
        <w:t xml:space="preserve">38820 Halberstadt </w:t>
      </w:r>
    </w:p>
    <w:p w:rsidR="00A75A66" w:rsidRPr="00A75A66" w:rsidRDefault="00A75A66" w:rsidP="00A75A66">
      <w:pPr>
        <w:autoSpaceDE w:val="0"/>
        <w:autoSpaceDN w:val="0"/>
        <w:adjustRightInd w:val="0"/>
        <w:spacing w:after="120" w:line="240" w:lineRule="auto"/>
        <w:rPr>
          <w:rFonts w:ascii="Arial" w:hAnsi="Arial" w:cs="Arial"/>
          <w:color w:val="000000"/>
        </w:rPr>
      </w:pPr>
      <w:r w:rsidRPr="00A75A66">
        <w:rPr>
          <w:rFonts w:ascii="Arial" w:hAnsi="Arial" w:cs="Arial"/>
          <w:color w:val="000000"/>
        </w:rPr>
        <w:t xml:space="preserve">Tel.: </w:t>
      </w:r>
      <w:r w:rsidRPr="00A75A66">
        <w:rPr>
          <w:rFonts w:ascii="Arial" w:hAnsi="Arial" w:cs="Arial"/>
          <w:color w:val="000000"/>
        </w:rPr>
        <w:tab/>
      </w:r>
      <w:r w:rsidRPr="00A75A66">
        <w:rPr>
          <w:rFonts w:ascii="Arial" w:hAnsi="Arial" w:cs="Arial"/>
          <w:color w:val="000000"/>
        </w:rPr>
        <w:tab/>
        <w:t>03941 / 59 70</w:t>
      </w:r>
      <w:r w:rsidR="002A6FC4">
        <w:rPr>
          <w:rFonts w:ascii="Arial" w:hAnsi="Arial" w:cs="Arial"/>
          <w:color w:val="000000"/>
        </w:rPr>
        <w:t xml:space="preserve"> 5719</w:t>
      </w:r>
    </w:p>
    <w:p w:rsidR="00A75A66" w:rsidRPr="00A75A66" w:rsidRDefault="00A75A66" w:rsidP="00A75A66">
      <w:pPr>
        <w:autoSpaceDE w:val="0"/>
        <w:autoSpaceDN w:val="0"/>
        <w:adjustRightInd w:val="0"/>
        <w:spacing w:after="120" w:line="240" w:lineRule="auto"/>
        <w:rPr>
          <w:rFonts w:ascii="Arial" w:hAnsi="Arial" w:cs="Arial"/>
          <w:color w:val="000000"/>
        </w:rPr>
      </w:pPr>
      <w:r w:rsidRPr="00A75A66">
        <w:rPr>
          <w:rFonts w:ascii="Arial" w:hAnsi="Arial" w:cs="Arial"/>
          <w:color w:val="000000"/>
        </w:rPr>
        <w:t xml:space="preserve">Fax: </w:t>
      </w:r>
      <w:r w:rsidRPr="00A75A66">
        <w:rPr>
          <w:rFonts w:ascii="Arial" w:hAnsi="Arial" w:cs="Arial"/>
          <w:color w:val="000000"/>
        </w:rPr>
        <w:tab/>
      </w:r>
      <w:r w:rsidRPr="00A75A66">
        <w:rPr>
          <w:rFonts w:ascii="Arial" w:hAnsi="Arial" w:cs="Arial"/>
          <w:color w:val="000000"/>
        </w:rPr>
        <w:tab/>
        <w:t xml:space="preserve">03941 / 59 70 </w:t>
      </w:r>
      <w:r w:rsidR="002A6FC4">
        <w:rPr>
          <w:rFonts w:ascii="Arial" w:hAnsi="Arial" w:cs="Arial"/>
          <w:color w:val="000000"/>
        </w:rPr>
        <w:t>4333</w:t>
      </w:r>
      <w:r w:rsidRPr="00A75A66">
        <w:rPr>
          <w:rFonts w:ascii="Arial" w:hAnsi="Arial" w:cs="Arial"/>
          <w:color w:val="000000"/>
        </w:rPr>
        <w:t xml:space="preserve"> </w:t>
      </w:r>
    </w:p>
    <w:p w:rsidR="00A75A66" w:rsidRPr="00A75A66" w:rsidRDefault="00A75A66" w:rsidP="00A75A66">
      <w:pPr>
        <w:spacing w:after="120" w:line="240" w:lineRule="auto"/>
        <w:rPr>
          <w:rFonts w:ascii="Arial" w:hAnsi="Arial" w:cs="Arial"/>
        </w:rPr>
      </w:pPr>
      <w:r w:rsidRPr="00A75A66">
        <w:rPr>
          <w:rFonts w:ascii="Arial" w:hAnsi="Arial" w:cs="Arial"/>
        </w:rPr>
        <w:t xml:space="preserve">E-Mail: </w:t>
      </w:r>
      <w:r w:rsidRPr="00A75A66">
        <w:rPr>
          <w:rFonts w:ascii="Arial" w:hAnsi="Arial" w:cs="Arial"/>
        </w:rPr>
        <w:tab/>
      </w:r>
      <w:hyperlink r:id="rId7" w:history="1">
        <w:r w:rsidRPr="001868F4">
          <w:rPr>
            <w:rStyle w:val="Hyperlink"/>
            <w:rFonts w:ascii="Arial" w:hAnsi="Arial" w:cs="Arial"/>
          </w:rPr>
          <w:t>vergabestelle@kreis-hz.de</w:t>
        </w:r>
      </w:hyperlink>
    </w:p>
    <w:p w:rsidR="00A75A66" w:rsidRPr="00080C4F" w:rsidRDefault="00A75A66" w:rsidP="00A87C93">
      <w:pPr>
        <w:pStyle w:val="Default"/>
        <w:spacing w:line="276" w:lineRule="auto"/>
        <w:jc w:val="both"/>
        <w:rPr>
          <w:rFonts w:ascii="Arial" w:hAnsi="Arial" w:cs="Arial"/>
          <w:sz w:val="22"/>
          <w:szCs w:val="22"/>
        </w:rPr>
      </w:pPr>
    </w:p>
    <w:p w:rsidR="00E6126F" w:rsidRDefault="00A75A66" w:rsidP="00BB3CC2">
      <w:pPr>
        <w:ind w:left="1410" w:hanging="1410"/>
        <w:jc w:val="both"/>
        <w:rPr>
          <w:rFonts w:ascii="Arial" w:hAnsi="Arial" w:cs="Arial"/>
        </w:rPr>
      </w:pPr>
      <w:r>
        <w:rPr>
          <w:rFonts w:ascii="Arial" w:hAnsi="Arial" w:cs="Arial"/>
        </w:rPr>
        <w:lastRenderedPageBreak/>
        <w:t>Anlage 1a:</w:t>
      </w:r>
      <w:r w:rsidR="00BB3CC2">
        <w:rPr>
          <w:rFonts w:ascii="Arial" w:hAnsi="Arial" w:cs="Arial"/>
        </w:rPr>
        <w:tab/>
        <w:t xml:space="preserve">Kartographische Darstellung des Ausbaugebietes </w:t>
      </w:r>
      <w:r w:rsidR="00BB3CC2" w:rsidRPr="00BB3CC2">
        <w:rPr>
          <w:rFonts w:ascii="Arial" w:hAnsi="Arial" w:cs="Arial"/>
          <w:b/>
        </w:rPr>
        <w:t>Los 1</w:t>
      </w:r>
      <w:r w:rsidR="00BB3CC2">
        <w:rPr>
          <w:rFonts w:ascii="Arial" w:hAnsi="Arial" w:cs="Arial"/>
        </w:rPr>
        <w:t xml:space="preserve"> – Übersichtskarte der zu versorgenden Adressen</w:t>
      </w:r>
    </w:p>
    <w:p w:rsidR="00A75A66" w:rsidRDefault="00A75A66" w:rsidP="00BB3CC2">
      <w:pPr>
        <w:ind w:left="1410" w:hanging="1410"/>
        <w:jc w:val="both"/>
        <w:rPr>
          <w:rFonts w:ascii="Arial" w:hAnsi="Arial" w:cs="Arial"/>
        </w:rPr>
      </w:pPr>
      <w:r>
        <w:rPr>
          <w:rFonts w:ascii="Arial" w:hAnsi="Arial" w:cs="Arial"/>
        </w:rPr>
        <w:t xml:space="preserve">Anlage </w:t>
      </w:r>
      <w:r w:rsidR="00BB3CC2">
        <w:rPr>
          <w:rFonts w:ascii="Arial" w:hAnsi="Arial" w:cs="Arial"/>
        </w:rPr>
        <w:t>1b</w:t>
      </w:r>
      <w:r w:rsidR="00BB3CC2">
        <w:rPr>
          <w:rFonts w:ascii="Arial" w:hAnsi="Arial" w:cs="Arial"/>
        </w:rPr>
        <w:tab/>
        <w:t xml:space="preserve">Kartographische Darstellung des Ausbaugebietes </w:t>
      </w:r>
      <w:r w:rsidR="00BB3CC2" w:rsidRPr="00BB3CC2">
        <w:rPr>
          <w:rFonts w:ascii="Arial" w:hAnsi="Arial" w:cs="Arial"/>
          <w:b/>
        </w:rPr>
        <w:t xml:space="preserve">Los </w:t>
      </w:r>
      <w:r w:rsidR="00BB3CC2">
        <w:rPr>
          <w:rFonts w:ascii="Arial" w:hAnsi="Arial" w:cs="Arial"/>
          <w:b/>
        </w:rPr>
        <w:t>2</w:t>
      </w:r>
      <w:r w:rsidR="00BB3CC2">
        <w:rPr>
          <w:rFonts w:ascii="Arial" w:hAnsi="Arial" w:cs="Arial"/>
        </w:rPr>
        <w:t xml:space="preserve"> – Übersichtskarte der zu versorgenden Adressen</w:t>
      </w:r>
    </w:p>
    <w:p w:rsidR="00BB3CC2" w:rsidRDefault="00BB3CC2" w:rsidP="00BB3CC2">
      <w:pPr>
        <w:ind w:left="1410" w:hanging="1410"/>
        <w:jc w:val="both"/>
        <w:rPr>
          <w:rFonts w:ascii="Arial" w:hAnsi="Arial" w:cs="Arial"/>
        </w:rPr>
      </w:pPr>
      <w:r>
        <w:rPr>
          <w:rFonts w:ascii="Arial" w:hAnsi="Arial" w:cs="Arial"/>
        </w:rPr>
        <w:t>Anlage 2a:</w:t>
      </w:r>
      <w:r>
        <w:rPr>
          <w:rFonts w:ascii="Arial" w:hAnsi="Arial" w:cs="Arial"/>
        </w:rPr>
        <w:tab/>
        <w:t xml:space="preserve">Liste der zu versorgenden Adressen des Ausbaugebietes </w:t>
      </w:r>
      <w:r w:rsidRPr="00D6534B">
        <w:rPr>
          <w:rFonts w:ascii="Arial" w:hAnsi="Arial" w:cs="Arial"/>
          <w:b/>
        </w:rPr>
        <w:t>Los 1</w:t>
      </w:r>
    </w:p>
    <w:p w:rsidR="00BB3CC2" w:rsidRDefault="00BB3CC2" w:rsidP="00BB3CC2">
      <w:pPr>
        <w:ind w:left="1410" w:hanging="1410"/>
        <w:jc w:val="both"/>
        <w:rPr>
          <w:rFonts w:ascii="Arial" w:hAnsi="Arial" w:cs="Arial"/>
          <w:b/>
        </w:rPr>
      </w:pPr>
      <w:r>
        <w:rPr>
          <w:rFonts w:ascii="Arial" w:hAnsi="Arial" w:cs="Arial"/>
        </w:rPr>
        <w:t>Anlage 2b</w:t>
      </w:r>
      <w:r>
        <w:rPr>
          <w:rFonts w:ascii="Arial" w:hAnsi="Arial" w:cs="Arial"/>
        </w:rPr>
        <w:tab/>
      </w:r>
      <w:r w:rsidR="00D6534B">
        <w:rPr>
          <w:rFonts w:ascii="Arial" w:hAnsi="Arial" w:cs="Arial"/>
        </w:rPr>
        <w:t xml:space="preserve">Liste der zu versorgenden Adressen des Ausbaugebietes </w:t>
      </w:r>
      <w:r w:rsidR="00D6534B" w:rsidRPr="00D6534B">
        <w:rPr>
          <w:rFonts w:ascii="Arial" w:hAnsi="Arial" w:cs="Arial"/>
          <w:b/>
        </w:rPr>
        <w:t xml:space="preserve">Los </w:t>
      </w:r>
      <w:r w:rsidR="00D6534B">
        <w:rPr>
          <w:rFonts w:ascii="Arial" w:hAnsi="Arial" w:cs="Arial"/>
          <w:b/>
        </w:rPr>
        <w:t>2</w:t>
      </w:r>
    </w:p>
    <w:p w:rsidR="00D6534B" w:rsidRDefault="00D6534B" w:rsidP="00BB3CC2">
      <w:pPr>
        <w:ind w:left="1410" w:hanging="1410"/>
        <w:jc w:val="both"/>
        <w:rPr>
          <w:rFonts w:ascii="Arial" w:hAnsi="Arial" w:cs="Arial"/>
        </w:rPr>
      </w:pPr>
      <w:r>
        <w:rPr>
          <w:rFonts w:ascii="Arial" w:hAnsi="Arial" w:cs="Arial"/>
        </w:rPr>
        <w:t>Anlage 3:</w:t>
      </w:r>
      <w:r>
        <w:rPr>
          <w:rFonts w:ascii="Arial" w:hAnsi="Arial" w:cs="Arial"/>
        </w:rPr>
        <w:tab/>
        <w:t>Berechnungsmuster Wirtschaftlichkeitslücke (Preisblatt)</w:t>
      </w:r>
    </w:p>
    <w:p w:rsidR="00D6534B" w:rsidRDefault="00D6534B" w:rsidP="00BB3CC2">
      <w:pPr>
        <w:ind w:left="1410" w:hanging="1410"/>
        <w:jc w:val="both"/>
        <w:rPr>
          <w:rFonts w:ascii="Arial" w:hAnsi="Arial" w:cs="Arial"/>
        </w:rPr>
      </w:pPr>
      <w:r>
        <w:rPr>
          <w:rFonts w:ascii="Arial" w:hAnsi="Arial" w:cs="Arial"/>
        </w:rPr>
        <w:t>Anlage 4:</w:t>
      </w:r>
      <w:r>
        <w:rPr>
          <w:rFonts w:ascii="Arial" w:hAnsi="Arial" w:cs="Arial"/>
        </w:rPr>
        <w:tab/>
        <w:t>Bietererklärung Tariftreue- und Vergabegesetz Sachsen-Anhalt</w:t>
      </w:r>
    </w:p>
    <w:p w:rsidR="00D6534B" w:rsidRDefault="00D6534B" w:rsidP="00BB3CC2">
      <w:pPr>
        <w:ind w:left="1410" w:hanging="1410"/>
        <w:jc w:val="both"/>
        <w:rPr>
          <w:rFonts w:ascii="Arial" w:hAnsi="Arial" w:cs="Arial"/>
        </w:rPr>
      </w:pPr>
      <w:r>
        <w:rPr>
          <w:rFonts w:ascii="Arial" w:hAnsi="Arial" w:cs="Arial"/>
        </w:rPr>
        <w:t>Anlage 5:</w:t>
      </w:r>
      <w:r>
        <w:rPr>
          <w:rFonts w:ascii="Arial" w:hAnsi="Arial" w:cs="Arial"/>
        </w:rPr>
        <w:tab/>
        <w:t>Erklärung, dass Ausschlussgründe gemäß § 133 Abs. 1 Nr. 1-10 GWB nicht vorliegen</w:t>
      </w:r>
    </w:p>
    <w:p w:rsidR="00D6534B" w:rsidRDefault="00D6534B" w:rsidP="00BB3CC2">
      <w:pPr>
        <w:ind w:left="1410" w:hanging="1410"/>
        <w:jc w:val="both"/>
        <w:rPr>
          <w:rFonts w:ascii="Arial" w:hAnsi="Arial" w:cs="Arial"/>
        </w:rPr>
      </w:pPr>
      <w:r>
        <w:rPr>
          <w:rFonts w:ascii="Arial" w:hAnsi="Arial" w:cs="Arial"/>
        </w:rPr>
        <w:t>Anlage 6:</w:t>
      </w:r>
      <w:r>
        <w:rPr>
          <w:rFonts w:ascii="Arial" w:hAnsi="Arial" w:cs="Arial"/>
        </w:rPr>
        <w:tab/>
        <w:t>Erklärung zur Bietergemeinschaft, sofern eine Bietergemeinschaft vorliegt</w:t>
      </w:r>
    </w:p>
    <w:p w:rsidR="00D6534B" w:rsidRDefault="00D6534B" w:rsidP="00BB3CC2">
      <w:pPr>
        <w:ind w:left="1410" w:hanging="1410"/>
        <w:jc w:val="both"/>
        <w:rPr>
          <w:rFonts w:ascii="Arial" w:hAnsi="Arial" w:cs="Arial"/>
        </w:rPr>
      </w:pPr>
      <w:r>
        <w:rPr>
          <w:rFonts w:ascii="Arial" w:hAnsi="Arial" w:cs="Arial"/>
        </w:rPr>
        <w:t xml:space="preserve">Anlage 7: </w:t>
      </w:r>
      <w:r>
        <w:rPr>
          <w:rFonts w:ascii="Arial" w:hAnsi="Arial" w:cs="Arial"/>
        </w:rPr>
        <w:tab/>
        <w:t>Erklä</w:t>
      </w:r>
      <w:r w:rsidR="009E72F5">
        <w:rPr>
          <w:rFonts w:ascii="Arial" w:hAnsi="Arial" w:cs="Arial"/>
        </w:rPr>
        <w:t>rungen des ausgewählten Betreibers zur Kenntnisnahme der Zuwendungsvoraussetzungen und zur Berücksichtigung vorhandener, nutzbarerer Infrastrukturen – Wirtschaftlichkeitslückenmodell/Betreibermodell</w:t>
      </w:r>
    </w:p>
    <w:p w:rsidR="009E72F5" w:rsidRPr="003472AF" w:rsidRDefault="009E72F5" w:rsidP="00BB3CC2">
      <w:pPr>
        <w:ind w:left="1410" w:hanging="1410"/>
        <w:jc w:val="both"/>
        <w:rPr>
          <w:rFonts w:ascii="Arial" w:hAnsi="Arial" w:cs="Arial"/>
          <w:b/>
        </w:rPr>
      </w:pPr>
      <w:r>
        <w:rPr>
          <w:rFonts w:ascii="Arial" w:hAnsi="Arial" w:cs="Arial"/>
        </w:rPr>
        <w:t>Anlage 8:</w:t>
      </w:r>
      <w:r>
        <w:rPr>
          <w:rFonts w:ascii="Arial" w:hAnsi="Arial" w:cs="Arial"/>
        </w:rPr>
        <w:tab/>
        <w:t>Muster-Ausbauvertrag</w:t>
      </w:r>
      <w:r w:rsidR="000E2D65">
        <w:rPr>
          <w:rFonts w:ascii="Arial" w:hAnsi="Arial" w:cs="Arial"/>
        </w:rPr>
        <w:t xml:space="preserve"> </w:t>
      </w:r>
      <w:r w:rsidR="000E2D65" w:rsidRPr="003472AF">
        <w:rPr>
          <w:rFonts w:ascii="Arial" w:hAnsi="Arial" w:cs="Arial"/>
          <w:b/>
        </w:rPr>
        <w:t>(</w:t>
      </w:r>
      <w:r w:rsidR="003472AF" w:rsidRPr="003472AF">
        <w:rPr>
          <w:rFonts w:ascii="Arial" w:hAnsi="Arial" w:cs="Arial"/>
          <w:b/>
        </w:rPr>
        <w:t>nach Freigabe wird der Vertrag veröffentlicht bzw. nachgereicht)</w:t>
      </w:r>
    </w:p>
    <w:p w:rsidR="00E6126F" w:rsidRPr="00080C4F" w:rsidRDefault="009E72F5" w:rsidP="00983309">
      <w:pPr>
        <w:ind w:left="1410" w:hanging="1410"/>
        <w:jc w:val="both"/>
        <w:rPr>
          <w:rFonts w:ascii="Arial" w:hAnsi="Arial" w:cs="Arial"/>
        </w:rPr>
      </w:pPr>
      <w:r>
        <w:rPr>
          <w:rFonts w:ascii="Arial" w:hAnsi="Arial" w:cs="Arial"/>
        </w:rPr>
        <w:t>Anlage 9:</w:t>
      </w:r>
      <w:r>
        <w:rPr>
          <w:rFonts w:ascii="Arial" w:hAnsi="Arial" w:cs="Arial"/>
        </w:rPr>
        <w:tab/>
      </w:r>
      <w:r w:rsidR="00611750">
        <w:rPr>
          <w:rFonts w:ascii="Arial" w:hAnsi="Arial" w:cs="Arial"/>
        </w:rPr>
        <w:t>Zuwendung</w:t>
      </w:r>
      <w:r w:rsidR="001425B1">
        <w:rPr>
          <w:rFonts w:ascii="Arial" w:hAnsi="Arial" w:cs="Arial"/>
        </w:rPr>
        <w:t>sbescheid des Bundes für ein Wirtschaftlichkeitslückenmodell</w:t>
      </w:r>
    </w:p>
    <w:sectPr w:rsidR="00E6126F" w:rsidRPr="00080C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AB5"/>
    <w:multiLevelType w:val="hybridMultilevel"/>
    <w:tmpl w:val="E064F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784C2D"/>
    <w:multiLevelType w:val="hybridMultilevel"/>
    <w:tmpl w:val="9AE6D0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C77F9E"/>
    <w:multiLevelType w:val="hybridMultilevel"/>
    <w:tmpl w:val="2BEC46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671DDC"/>
    <w:multiLevelType w:val="hybridMultilevel"/>
    <w:tmpl w:val="82D001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6435BA"/>
    <w:multiLevelType w:val="hybridMultilevel"/>
    <w:tmpl w:val="D5944E2C"/>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 w15:restartNumberingAfterBreak="0">
    <w:nsid w:val="68863B19"/>
    <w:multiLevelType w:val="hybridMultilevel"/>
    <w:tmpl w:val="2B44245A"/>
    <w:lvl w:ilvl="0" w:tplc="48904A7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840ABF"/>
    <w:multiLevelType w:val="hybridMultilevel"/>
    <w:tmpl w:val="C714D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03C"/>
    <w:rsid w:val="000124A2"/>
    <w:rsid w:val="00012713"/>
    <w:rsid w:val="00045014"/>
    <w:rsid w:val="00065ED6"/>
    <w:rsid w:val="00067240"/>
    <w:rsid w:val="00080C4F"/>
    <w:rsid w:val="000E2D65"/>
    <w:rsid w:val="000E5744"/>
    <w:rsid w:val="001425B1"/>
    <w:rsid w:val="00154BED"/>
    <w:rsid w:val="001733B1"/>
    <w:rsid w:val="00195FD8"/>
    <w:rsid w:val="001B558B"/>
    <w:rsid w:val="001C08D9"/>
    <w:rsid w:val="001D41C8"/>
    <w:rsid w:val="001E0EAD"/>
    <w:rsid w:val="001E71FA"/>
    <w:rsid w:val="0020687D"/>
    <w:rsid w:val="00223AEB"/>
    <w:rsid w:val="002307A9"/>
    <w:rsid w:val="002554BE"/>
    <w:rsid w:val="0027303C"/>
    <w:rsid w:val="002813BC"/>
    <w:rsid w:val="0028511F"/>
    <w:rsid w:val="002A6FC4"/>
    <w:rsid w:val="002B517B"/>
    <w:rsid w:val="0030274A"/>
    <w:rsid w:val="003048C9"/>
    <w:rsid w:val="003278F1"/>
    <w:rsid w:val="0034197D"/>
    <w:rsid w:val="003472AF"/>
    <w:rsid w:val="0035104A"/>
    <w:rsid w:val="00366743"/>
    <w:rsid w:val="00377DBB"/>
    <w:rsid w:val="00385FA5"/>
    <w:rsid w:val="0039154E"/>
    <w:rsid w:val="003B2C4A"/>
    <w:rsid w:val="003B2E7A"/>
    <w:rsid w:val="003B75B3"/>
    <w:rsid w:val="003F28FF"/>
    <w:rsid w:val="00475358"/>
    <w:rsid w:val="00481280"/>
    <w:rsid w:val="004C055B"/>
    <w:rsid w:val="004D61BC"/>
    <w:rsid w:val="004E4BF8"/>
    <w:rsid w:val="00514867"/>
    <w:rsid w:val="00542EED"/>
    <w:rsid w:val="0054306F"/>
    <w:rsid w:val="0056047A"/>
    <w:rsid w:val="00562AE4"/>
    <w:rsid w:val="005C5E41"/>
    <w:rsid w:val="00602226"/>
    <w:rsid w:val="00611750"/>
    <w:rsid w:val="00627C49"/>
    <w:rsid w:val="00635B93"/>
    <w:rsid w:val="006454E4"/>
    <w:rsid w:val="00647BEA"/>
    <w:rsid w:val="00657C8E"/>
    <w:rsid w:val="00663980"/>
    <w:rsid w:val="006728F4"/>
    <w:rsid w:val="00672CE5"/>
    <w:rsid w:val="006975CE"/>
    <w:rsid w:val="00697D6B"/>
    <w:rsid w:val="006B4951"/>
    <w:rsid w:val="006C41E0"/>
    <w:rsid w:val="006D7CF3"/>
    <w:rsid w:val="007034EF"/>
    <w:rsid w:val="007234B0"/>
    <w:rsid w:val="007259CE"/>
    <w:rsid w:val="00734C1D"/>
    <w:rsid w:val="0075028C"/>
    <w:rsid w:val="007A3678"/>
    <w:rsid w:val="007A49EA"/>
    <w:rsid w:val="007F17B7"/>
    <w:rsid w:val="00805641"/>
    <w:rsid w:val="00813837"/>
    <w:rsid w:val="00840747"/>
    <w:rsid w:val="00863D23"/>
    <w:rsid w:val="00871F80"/>
    <w:rsid w:val="008B4CD2"/>
    <w:rsid w:val="008E1CE3"/>
    <w:rsid w:val="008E61C8"/>
    <w:rsid w:val="009605C0"/>
    <w:rsid w:val="0097397A"/>
    <w:rsid w:val="00976042"/>
    <w:rsid w:val="00983309"/>
    <w:rsid w:val="009A45C9"/>
    <w:rsid w:val="009C2D6F"/>
    <w:rsid w:val="009C72EC"/>
    <w:rsid w:val="009E3402"/>
    <w:rsid w:val="009E4F53"/>
    <w:rsid w:val="009E72F5"/>
    <w:rsid w:val="00A00EE9"/>
    <w:rsid w:val="00A01B02"/>
    <w:rsid w:val="00A0318A"/>
    <w:rsid w:val="00A0662F"/>
    <w:rsid w:val="00A104E6"/>
    <w:rsid w:val="00A430A7"/>
    <w:rsid w:val="00A512CE"/>
    <w:rsid w:val="00A7513F"/>
    <w:rsid w:val="00A75A66"/>
    <w:rsid w:val="00A774E7"/>
    <w:rsid w:val="00A87C93"/>
    <w:rsid w:val="00AC3079"/>
    <w:rsid w:val="00AE126C"/>
    <w:rsid w:val="00AF1A13"/>
    <w:rsid w:val="00AF33CC"/>
    <w:rsid w:val="00B366A6"/>
    <w:rsid w:val="00B46C0E"/>
    <w:rsid w:val="00B94C38"/>
    <w:rsid w:val="00BB3CC2"/>
    <w:rsid w:val="00C00E2E"/>
    <w:rsid w:val="00C24064"/>
    <w:rsid w:val="00C6357C"/>
    <w:rsid w:val="00C65A36"/>
    <w:rsid w:val="00C756ED"/>
    <w:rsid w:val="00C92B42"/>
    <w:rsid w:val="00C95219"/>
    <w:rsid w:val="00CA6798"/>
    <w:rsid w:val="00CB51D5"/>
    <w:rsid w:val="00CE3ED3"/>
    <w:rsid w:val="00D03E71"/>
    <w:rsid w:val="00D44E46"/>
    <w:rsid w:val="00D53ED6"/>
    <w:rsid w:val="00D60C0E"/>
    <w:rsid w:val="00D6534B"/>
    <w:rsid w:val="00D75A8B"/>
    <w:rsid w:val="00DD329C"/>
    <w:rsid w:val="00E42380"/>
    <w:rsid w:val="00E6126F"/>
    <w:rsid w:val="00E65A4F"/>
    <w:rsid w:val="00E81B98"/>
    <w:rsid w:val="00F10557"/>
    <w:rsid w:val="00F40AE7"/>
    <w:rsid w:val="00F5129F"/>
    <w:rsid w:val="00F6251E"/>
    <w:rsid w:val="00F65073"/>
    <w:rsid w:val="00F9396A"/>
    <w:rsid w:val="00F96B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534C"/>
  <w15:docId w15:val="{0C8D2CDD-C439-4A86-8A12-930C841F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30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303C"/>
    <w:rPr>
      <w:rFonts w:ascii="Tahoma" w:hAnsi="Tahoma" w:cs="Tahoma"/>
      <w:sz w:val="16"/>
      <w:szCs w:val="16"/>
    </w:rPr>
  </w:style>
  <w:style w:type="paragraph" w:customStyle="1" w:styleId="Default">
    <w:name w:val="Default"/>
    <w:rsid w:val="00AF1A13"/>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6B4951"/>
    <w:rPr>
      <w:sz w:val="16"/>
      <w:szCs w:val="16"/>
    </w:rPr>
  </w:style>
  <w:style w:type="paragraph" w:styleId="Kommentartext">
    <w:name w:val="annotation text"/>
    <w:basedOn w:val="Standard"/>
    <w:link w:val="KommentartextZchn"/>
    <w:uiPriority w:val="99"/>
    <w:semiHidden/>
    <w:unhideWhenUsed/>
    <w:rsid w:val="006B49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B4951"/>
    <w:rPr>
      <w:sz w:val="20"/>
      <w:szCs w:val="20"/>
    </w:rPr>
  </w:style>
  <w:style w:type="paragraph" w:styleId="Kommentarthema">
    <w:name w:val="annotation subject"/>
    <w:basedOn w:val="Kommentartext"/>
    <w:next w:val="Kommentartext"/>
    <w:link w:val="KommentarthemaZchn"/>
    <w:uiPriority w:val="99"/>
    <w:semiHidden/>
    <w:unhideWhenUsed/>
    <w:rsid w:val="006B4951"/>
    <w:rPr>
      <w:b/>
      <w:bCs/>
    </w:rPr>
  </w:style>
  <w:style w:type="character" w:customStyle="1" w:styleId="KommentarthemaZchn">
    <w:name w:val="Kommentarthema Zchn"/>
    <w:basedOn w:val="KommentartextZchn"/>
    <w:link w:val="Kommentarthema"/>
    <w:uiPriority w:val="99"/>
    <w:semiHidden/>
    <w:rsid w:val="006B4951"/>
    <w:rPr>
      <w:b/>
      <w:bCs/>
      <w:sz w:val="20"/>
      <w:szCs w:val="20"/>
    </w:rPr>
  </w:style>
  <w:style w:type="character" w:styleId="Hyperlink">
    <w:name w:val="Hyperlink"/>
    <w:basedOn w:val="Absatz-Standardschriftart"/>
    <w:uiPriority w:val="99"/>
    <w:unhideWhenUsed/>
    <w:rsid w:val="00DD329C"/>
    <w:rPr>
      <w:color w:val="0000FF" w:themeColor="hyperlink"/>
      <w:u w:val="single"/>
    </w:rPr>
  </w:style>
  <w:style w:type="character" w:styleId="NichtaufgelsteErwhnung">
    <w:name w:val="Unresolved Mention"/>
    <w:basedOn w:val="Absatz-Standardschriftart"/>
    <w:uiPriority w:val="99"/>
    <w:semiHidden/>
    <w:unhideWhenUsed/>
    <w:rsid w:val="00DD329C"/>
    <w:rPr>
      <w:color w:val="605E5C"/>
      <w:shd w:val="clear" w:color="auto" w:fill="E1DFDD"/>
    </w:rPr>
  </w:style>
  <w:style w:type="paragraph" w:styleId="Listenabsatz">
    <w:name w:val="List Paragraph"/>
    <w:basedOn w:val="Standard"/>
    <w:uiPriority w:val="34"/>
    <w:qFormat/>
    <w:rsid w:val="00F93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4399">
      <w:bodyDiv w:val="1"/>
      <w:marLeft w:val="0"/>
      <w:marRight w:val="0"/>
      <w:marTop w:val="0"/>
      <w:marBottom w:val="0"/>
      <w:divBdr>
        <w:top w:val="none" w:sz="0" w:space="0" w:color="auto"/>
        <w:left w:val="none" w:sz="0" w:space="0" w:color="auto"/>
        <w:bottom w:val="none" w:sz="0" w:space="0" w:color="auto"/>
        <w:right w:val="none" w:sz="0" w:space="0" w:color="auto"/>
      </w:divBdr>
    </w:div>
    <w:div w:id="597569292">
      <w:bodyDiv w:val="1"/>
      <w:marLeft w:val="0"/>
      <w:marRight w:val="0"/>
      <w:marTop w:val="0"/>
      <w:marBottom w:val="0"/>
      <w:divBdr>
        <w:top w:val="none" w:sz="0" w:space="0" w:color="auto"/>
        <w:left w:val="none" w:sz="0" w:space="0" w:color="auto"/>
        <w:bottom w:val="none" w:sz="0" w:space="0" w:color="auto"/>
        <w:right w:val="none" w:sz="0" w:space="0" w:color="auto"/>
      </w:divBdr>
    </w:div>
    <w:div w:id="612444380">
      <w:bodyDiv w:val="1"/>
      <w:marLeft w:val="0"/>
      <w:marRight w:val="0"/>
      <w:marTop w:val="0"/>
      <w:marBottom w:val="0"/>
      <w:divBdr>
        <w:top w:val="none" w:sz="0" w:space="0" w:color="auto"/>
        <w:left w:val="none" w:sz="0" w:space="0" w:color="auto"/>
        <w:bottom w:val="none" w:sz="0" w:space="0" w:color="auto"/>
        <w:right w:val="none" w:sz="0" w:space="0" w:color="auto"/>
      </w:divBdr>
    </w:div>
    <w:div w:id="707921224">
      <w:bodyDiv w:val="1"/>
      <w:marLeft w:val="0"/>
      <w:marRight w:val="0"/>
      <w:marTop w:val="0"/>
      <w:marBottom w:val="0"/>
      <w:divBdr>
        <w:top w:val="none" w:sz="0" w:space="0" w:color="auto"/>
        <w:left w:val="none" w:sz="0" w:space="0" w:color="auto"/>
        <w:bottom w:val="none" w:sz="0" w:space="0" w:color="auto"/>
        <w:right w:val="none" w:sz="0" w:space="0" w:color="auto"/>
      </w:divBdr>
    </w:div>
    <w:div w:id="908658497">
      <w:bodyDiv w:val="1"/>
      <w:marLeft w:val="0"/>
      <w:marRight w:val="0"/>
      <w:marTop w:val="0"/>
      <w:marBottom w:val="0"/>
      <w:divBdr>
        <w:top w:val="none" w:sz="0" w:space="0" w:color="auto"/>
        <w:left w:val="none" w:sz="0" w:space="0" w:color="auto"/>
        <w:bottom w:val="none" w:sz="0" w:space="0" w:color="auto"/>
        <w:right w:val="none" w:sz="0" w:space="0" w:color="auto"/>
      </w:divBdr>
    </w:div>
    <w:div w:id="1035884208">
      <w:bodyDiv w:val="1"/>
      <w:marLeft w:val="0"/>
      <w:marRight w:val="0"/>
      <w:marTop w:val="0"/>
      <w:marBottom w:val="0"/>
      <w:divBdr>
        <w:top w:val="none" w:sz="0" w:space="0" w:color="auto"/>
        <w:left w:val="none" w:sz="0" w:space="0" w:color="auto"/>
        <w:bottom w:val="none" w:sz="0" w:space="0" w:color="auto"/>
        <w:right w:val="none" w:sz="0" w:space="0" w:color="auto"/>
      </w:divBdr>
    </w:div>
    <w:div w:id="20949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rgabestelle@kreis-hz.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gabit-projekttraeger.de/download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i s m a W o r d A d d I n S e t t i n g s M o d e l   x m l n s : x s i = " h t t p : / / w w w . w 3 . o r g / 2 0 0 1 / X M L S c h e m a - i n s t a n c e "   x m l n s : x s d = " h t t p : / / w w w . w 3 . o r g / 2 0 0 1 / X M L S c h e m a "   x m l n s = " h t t p : / / t u v . c o m / d i s m a / w o r d a d d i n " >  
     < V e r s i o n > 1 . 4 . 0 . 0 < / V e r s i o n >  
     < T a b l e s / >  
 < / D i s m a W o r d A d d I n S e t t i n g s M o d e l > 
</file>

<file path=customXml/itemProps1.xml><?xml version="1.0" encoding="utf-8"?>
<ds:datastoreItem xmlns:ds="http://schemas.openxmlformats.org/officeDocument/2006/customXml" ds:itemID="{DABC27FB-F2E7-4F2F-843C-7FB686BA3C22}">
  <ds:schemaRefs>
    <ds:schemaRef ds:uri="http://www.w3.org/2001/XMLSchema"/>
    <ds:schemaRef ds:uri="http://tuv.com/disma/wordadd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9884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Landkreis Harz</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Pawlowa, Jelena</dc:creator>
  <cp:lastModifiedBy>Dörfler-Jobi, Franziska</cp:lastModifiedBy>
  <cp:revision>51</cp:revision>
  <dcterms:created xsi:type="dcterms:W3CDTF">2021-07-29T15:06:00Z</dcterms:created>
  <dcterms:modified xsi:type="dcterms:W3CDTF">2024-02-16T10:28:00Z</dcterms:modified>
</cp:coreProperties>
</file>